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2225B" w:rsidR="00A702E7" w:rsidP="009F12D1" w:rsidRDefault="00FD1A8E" w14:paraId="01D939A3" w14:textId="77777777">
      <w:pPr>
        <w:pStyle w:val="Title"/>
        <w:jc w:val="both"/>
        <w:rPr>
          <w:rFonts w:ascii="Arial" w:hAnsi="Arial" w:cs="Arial"/>
          <w:b/>
          <w:bCs/>
          <w:sz w:val="28"/>
          <w:szCs w:val="28"/>
        </w:rPr>
      </w:pPr>
      <w:r w:rsidRPr="00B2225B">
        <w:rPr>
          <w:rFonts w:ascii="Arial" w:hAnsi="Arial" w:cs="Arial"/>
          <w:b/>
          <w:bCs/>
          <w:sz w:val="28"/>
          <w:szCs w:val="28"/>
        </w:rPr>
        <w:t>PurpleSpace ANZ Leadership Roundtable – Summary Report</w:t>
      </w:r>
    </w:p>
    <w:p w:rsidRPr="009F12D1" w:rsidR="00A702E7" w:rsidP="009F12D1" w:rsidRDefault="00FD1A8E" w14:paraId="0584C7AF" w14:textId="77777777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9F12D1">
        <w:rPr>
          <w:rFonts w:ascii="Arial" w:hAnsi="Arial" w:cs="Arial"/>
          <w:sz w:val="24"/>
          <w:szCs w:val="24"/>
        </w:rPr>
        <w:t>Introduction</w:t>
      </w:r>
    </w:p>
    <w:p w:rsidR="009F12D1" w:rsidP="497008D1" w:rsidRDefault="009F12D1" w14:paraId="2AC82561" w14:textId="4034587E">
      <w:pPr>
        <w:pStyle w:val="Heading1"/>
        <w:spacing w:line="240" w:lineRule="auto"/>
        <w:jc w:val="both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r w:rsidRPr="497008D1" w:rsidR="4D4E33E6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O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n 27 August </w:t>
      </w:r>
      <w:r w:rsidRPr="497008D1" w:rsidR="3E90CBD4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PurpleSpace</w:t>
      </w:r>
      <w:r w:rsidRPr="497008D1" w:rsidR="3E90CBD4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held its </w:t>
      </w:r>
      <w:r w:rsidRPr="497008D1" w:rsidR="3E90CBD4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ANZ Peer Leadership Roundtable</w:t>
      </w:r>
      <w:r w:rsidRPr="497008D1" w:rsidR="3E90CBD4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r w:rsidRPr="497008D1" w:rsidR="65AB146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at EY’s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Sydney office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. </w:t>
      </w:r>
      <w:r w:rsidRPr="497008D1" w:rsidR="5B1903B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With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over 20 </w:t>
      </w:r>
      <w:r w:rsidRPr="497008D1" w:rsidR="35848F2F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i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n</w:t>
      </w:r>
      <w:r w:rsidRPr="497008D1" w:rsidR="6E8DEE0C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-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person and more than 30 online</w:t>
      </w:r>
      <w:r w:rsidRPr="497008D1" w:rsidR="271904A8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participants, </w:t>
      </w:r>
      <w:r w:rsidRPr="497008D1" w:rsidR="7624430B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the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turnout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reflect</w:t>
      </w:r>
      <w:r w:rsidRPr="497008D1" w:rsidR="5222A3FF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ed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the growing appetite for connection among Disability Employee Network (DEN) leaders across Australia and New Zealand.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</w:p>
    <w:p w:rsidR="009F12D1" w:rsidP="497008D1" w:rsidRDefault="009F12D1" w14:paraId="7492E567" w14:textId="5A761970">
      <w:pPr>
        <w:pStyle w:val="Heading1"/>
        <w:spacing w:line="240" w:lineRule="auto"/>
        <w:jc w:val="both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  <w:r w:rsidRPr="497008D1" w:rsidR="3AEFC535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We offer </w:t>
      </w:r>
      <w:bookmarkStart w:name="_Int_XOwBeBz2" w:id="1385426861"/>
      <w:r w:rsidRPr="497008D1" w:rsidR="05A4C5A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our</w:t>
      </w:r>
      <w:bookmarkEnd w:id="1385426861"/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thank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you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to our hosts at EY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,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Zoe Field, Kaz Geering, Patrick Medd, and Laura Grant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,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for </w:t>
      </w:r>
      <w:r w:rsidRPr="497008D1" w:rsidR="1CA2E716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the</w:t>
      </w:r>
      <w:r w:rsidRPr="497008D1" w:rsidR="1CA2E716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warm welcome and their leadership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. </w:t>
      </w:r>
    </w:p>
    <w:p w:rsidR="497008D1" w:rsidP="497008D1" w:rsidRDefault="497008D1" w14:paraId="7B1ED4C3" w14:textId="1DC3B768">
      <w:pPr>
        <w:pStyle w:val="Normal"/>
      </w:pPr>
    </w:p>
    <w:p w:rsidR="6626D6AB" w:rsidP="497008D1" w:rsidRDefault="6626D6AB" w14:paraId="2CB8CF38" w14:textId="6A4AB09C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7008D1" w:rsidR="6626D6AB">
        <w:rPr>
          <w:rFonts w:ascii="Arial" w:hAnsi="Arial" w:eastAsia="Arial" w:cs="Arial"/>
          <w:noProof w:val="0"/>
          <w:sz w:val="24"/>
          <w:szCs w:val="24"/>
          <w:lang w:val="en-US"/>
        </w:rPr>
        <w:t>Participants discussed the role of disability ERG/Network leaders in ANZ in:</w:t>
      </w:r>
    </w:p>
    <w:p w:rsidR="6626D6AB" w:rsidP="497008D1" w:rsidRDefault="6626D6AB" w14:paraId="7FBF23AF" w14:textId="3F912770">
      <w:pPr>
        <w:pStyle w:val="ListParagraph"/>
        <w:numPr>
          <w:ilvl w:val="0"/>
          <w:numId w:val="15"/>
        </w:numPr>
        <w:spacing w:before="0" w:beforeAutospacing="off" w:after="0" w:afterAutospacing="off" w:line="257" w:lineRule="auto"/>
        <w:ind w:left="720" w:right="0" w:hanging="36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97008D1" w:rsidR="6626D6A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Supporting their </w:t>
      </w:r>
      <w:r w:rsidRPr="497008D1" w:rsidR="0662819E">
        <w:rPr>
          <w:rFonts w:ascii="Arial" w:hAnsi="Arial" w:eastAsia="Arial" w:cs="Arial"/>
          <w:noProof w:val="0"/>
          <w:sz w:val="24"/>
          <w:szCs w:val="24"/>
          <w:lang w:val="en-US"/>
        </w:rPr>
        <w:t>organizations</w:t>
      </w:r>
      <w:r w:rsidRPr="497008D1" w:rsidR="6626D6A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to improve the delivery of workplace adjustments/accommodation</w:t>
      </w:r>
    </w:p>
    <w:p w:rsidR="6626D6AB" w:rsidP="497008D1" w:rsidRDefault="6626D6AB" w14:paraId="692B3FEE" w14:textId="2BBDFCD4">
      <w:pPr>
        <w:pStyle w:val="ListParagraph"/>
        <w:numPr>
          <w:ilvl w:val="0"/>
          <w:numId w:val="15"/>
        </w:numPr>
        <w:spacing w:before="0" w:beforeAutospacing="off" w:after="0" w:afterAutospacing="off" w:line="257" w:lineRule="auto"/>
        <w:ind w:left="720" w:right="0" w:hanging="36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97008D1" w:rsidR="6626D6AB">
        <w:rPr>
          <w:rFonts w:ascii="Arial" w:hAnsi="Arial" w:eastAsia="Arial" w:cs="Arial"/>
          <w:noProof w:val="0"/>
          <w:sz w:val="24"/>
          <w:szCs w:val="24"/>
          <w:lang w:val="en-US"/>
        </w:rPr>
        <w:t>Developing the confidence of colleagues with disabilities to request the adjustments they need to thrive</w:t>
      </w:r>
    </w:p>
    <w:p w:rsidRPr="009F12D1" w:rsidR="009F12D1" w:rsidP="009F12D1" w:rsidRDefault="009F12D1" w14:paraId="08208F2B" w14:textId="77777777">
      <w:pPr>
        <w:pStyle w:val="Heading1"/>
        <w:spacing w:line="240" w:lineRule="auto"/>
        <w:jc w:val="both"/>
        <w:rPr>
          <w:rFonts w:ascii="Arial" w:hAnsi="Arial" w:cs="Arial" w:eastAsiaTheme="minorEastAsia"/>
          <w:b w:val="0"/>
          <w:bCs w:val="0"/>
          <w:color w:val="auto"/>
          <w:sz w:val="24"/>
          <w:szCs w:val="24"/>
        </w:rPr>
      </w:pPr>
      <w:r w:rsidRPr="009F12D1">
        <w:rPr>
          <w:rFonts w:ascii="Arial" w:hAnsi="Arial" w:cs="Arial" w:eastAsiaTheme="minorEastAsia"/>
          <w:b w:val="0"/>
          <w:bCs w:val="0"/>
          <w:color w:val="auto"/>
          <w:sz w:val="24"/>
          <w:szCs w:val="24"/>
        </w:rPr>
        <w:t xml:space="preserve">This Roundtable marked a significant milestone: our first hybrid ANZ event since </w:t>
      </w:r>
      <w:proofErr w:type="spellStart"/>
      <w:r w:rsidRPr="009F12D1">
        <w:rPr>
          <w:rFonts w:ascii="Arial" w:hAnsi="Arial" w:cs="Arial" w:eastAsiaTheme="minorEastAsia"/>
          <w:b w:val="0"/>
          <w:bCs w:val="0"/>
          <w:color w:val="auto"/>
          <w:sz w:val="24"/>
          <w:szCs w:val="24"/>
        </w:rPr>
        <w:t>PurpleSpace</w:t>
      </w:r>
      <w:proofErr w:type="spellEnd"/>
      <w:r w:rsidRPr="009F12D1">
        <w:rPr>
          <w:rFonts w:ascii="Arial" w:hAnsi="Arial" w:cs="Arial" w:eastAsiaTheme="minorEastAsia"/>
          <w:b w:val="0"/>
          <w:bCs w:val="0"/>
          <w:color w:val="auto"/>
          <w:sz w:val="24"/>
          <w:szCs w:val="24"/>
        </w:rPr>
        <w:t xml:space="preserve"> was founded in the UK in 2015. It represents a pivotal moment for the global disability ERG/Network movement and a powerful step forward in building connection and community between DEN leaders across the region.</w:t>
      </w:r>
    </w:p>
    <w:p w:rsidR="497008D1" w:rsidP="497008D1" w:rsidRDefault="497008D1" w14:paraId="70BDCFF5" w14:textId="5D5BF374">
      <w:pPr>
        <w:pStyle w:val="Normal"/>
        <w:spacing w:line="240" w:lineRule="auto"/>
        <w:jc w:val="both"/>
      </w:pPr>
      <w:r>
        <w:br w:type="page"/>
      </w:r>
    </w:p>
    <w:p w:rsidR="00A702E7" w:rsidP="009F12D1" w:rsidRDefault="00FD1A8E" w14:paraId="1383BF4A" w14:textId="1785EBCD">
      <w:pPr>
        <w:pStyle w:val="Heading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497008D1" w:rsidR="3B7FDA2D">
        <w:rPr>
          <w:rFonts w:ascii="Arial" w:hAnsi="Arial" w:cs="Arial"/>
          <w:sz w:val="24"/>
          <w:szCs w:val="24"/>
        </w:rPr>
        <w:t>PurpleSpace</w:t>
      </w:r>
      <w:r w:rsidRPr="497008D1" w:rsidR="3B7FDA2D">
        <w:rPr>
          <w:rFonts w:ascii="Arial" w:hAnsi="Arial" w:cs="Arial"/>
          <w:sz w:val="24"/>
          <w:szCs w:val="24"/>
        </w:rPr>
        <w:t xml:space="preserve"> Background and Purpose</w:t>
      </w:r>
    </w:p>
    <w:p w:rsidR="497008D1" w:rsidP="497008D1" w:rsidRDefault="497008D1" w14:paraId="2F0BE104" w14:textId="5A2AE603">
      <w:pPr>
        <w:pStyle w:val="Normal"/>
      </w:pPr>
    </w:p>
    <w:p w:rsidR="4C4AECEC" w:rsidP="497008D1" w:rsidRDefault="4C4AECEC" w14:paraId="7B7572C6" w14:textId="6DA2D18A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PurpleSpace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is the world’s only professional development and networking hub for disability Employee 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Resource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Group (ERG)/Network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leaders, 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champions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allies.</w:t>
      </w:r>
    </w:p>
    <w:p w:rsidR="4C4AECEC" w:rsidP="497008D1" w:rsidRDefault="4C4AECEC" w14:paraId="2C1EB999" w14:textId="1AB1561A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BBAC1C0" w:rsidP="497008D1" w:rsidRDefault="1BBAC1C0" w14:paraId="63908D9E" w14:textId="438DF6F8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Established in 2015, </w:t>
      </w:r>
      <w:r w:rsidRPr="497008D1" w:rsidR="6AD1513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497008D1" w:rsidR="6AD1513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170+ member organizations employee an estimated 1.5 million employees with </w:t>
      </w:r>
      <w:r w:rsidRPr="497008D1" w:rsidR="15E67EA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disabilities between them</w:t>
      </w:r>
      <w:r w:rsidRPr="497008D1" w:rsidR="6AD1513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 O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ur </w:t>
      </w:r>
      <w:r w:rsidRPr="497008D1" w:rsidR="6492332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services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are 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now 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accesse</w:t>
      </w:r>
      <w:r w:rsidRPr="497008D1" w:rsidR="0F6FFA5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by 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over 4,000 </w:t>
      </w:r>
      <w:r w:rsidRPr="497008D1" w:rsidR="4D1729F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disability ERG/Network 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leaders</w:t>
      </w:r>
      <w:r w:rsidRPr="497008D1" w:rsidR="38F6ADA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from over 56 countri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es</w:t>
      </w:r>
      <w:r w:rsidRPr="497008D1" w:rsidR="39C4D49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97008D1" w:rsidR="1BBAC1C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97008D1" w:rsidP="497008D1" w:rsidRDefault="497008D1" w14:paraId="13978897" w14:textId="0F9407CA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056D6E" w:rsidP="497008D1" w:rsidRDefault="42056D6E" w14:paraId="4125B2FE" w14:textId="493C95BB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42056D6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Sitting at the </w:t>
      </w:r>
      <w:r w:rsidRPr="497008D1" w:rsidR="3F9184A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intersection</w:t>
      </w:r>
      <w:r w:rsidRPr="497008D1" w:rsidR="42056D6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</w:t>
      </w:r>
      <w:r w:rsidRPr="497008D1" w:rsidR="32B479E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disability</w:t>
      </w:r>
      <w:r w:rsidRPr="497008D1" w:rsidR="42056D6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profession</w:t>
      </w:r>
      <w:r w:rsidRPr="497008D1" w:rsidR="42056D6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al development sectors, o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ur mission is to </w:t>
      </w:r>
      <w:r w:rsidRPr="497008D1" w:rsidR="5B1C10B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help 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organizations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individuals 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build disabilit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y confidence ‘from the inside ou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497008D1" w:rsidR="429B3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97008D1" w:rsidR="429B3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We do this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by accelerating the global growth of the disability 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ERG/Network</w:t>
      </w: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movement and developing the inner confidence of every employee with a disability.</w:t>
      </w:r>
    </w:p>
    <w:p w:rsidR="4C4AECEC" w:rsidP="497008D1" w:rsidRDefault="4C4AECEC" w14:paraId="3E352305" w14:textId="5D66D9B5">
      <w:p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4C4AECE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97008D1" w:rsidP="497008D1" w:rsidRDefault="497008D1" w14:paraId="0604C17B" w14:textId="1833E97C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253311" w:rsidP="497008D1" w:rsidRDefault="3B253311" w14:paraId="76092BC2" w14:textId="091EF7CF">
      <w:pPr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3B253311">
        <w:rPr>
          <w:rFonts w:ascii="Arial" w:hAnsi="Arial" w:cs="Arial"/>
          <w:sz w:val="24"/>
          <w:szCs w:val="24"/>
        </w:rPr>
        <w:t xml:space="preserve">Graphic: </w:t>
      </w:r>
      <w:r w:rsidRPr="497008D1" w:rsidR="3B253311">
        <w:rPr>
          <w:rFonts w:ascii="Arial" w:hAnsi="Arial" w:cs="Arial"/>
          <w:sz w:val="24"/>
          <w:szCs w:val="24"/>
        </w:rPr>
        <w:t>PurpleSpace</w:t>
      </w:r>
      <w:r w:rsidRPr="497008D1" w:rsidR="3B253311">
        <w:rPr>
          <w:rFonts w:ascii="Arial" w:hAnsi="Arial" w:cs="Arial"/>
          <w:sz w:val="24"/>
          <w:szCs w:val="24"/>
        </w:rPr>
        <w:t xml:space="preserve"> at the </w:t>
      </w:r>
      <w:r w:rsidRPr="497008D1" w:rsidR="4080EE2D">
        <w:rPr>
          <w:rFonts w:ascii="Arial" w:hAnsi="Arial" w:cs="Arial"/>
          <w:sz w:val="24"/>
          <w:szCs w:val="24"/>
        </w:rPr>
        <w:t xml:space="preserve">intersection </w:t>
      </w:r>
      <w:r w:rsidRPr="497008D1" w:rsidR="73A24476">
        <w:rPr>
          <w:rFonts w:ascii="Arial" w:hAnsi="Arial" w:cs="Arial"/>
          <w:sz w:val="24"/>
          <w:szCs w:val="24"/>
        </w:rPr>
        <w:t>of</w:t>
      </w:r>
      <w:r w:rsidRPr="497008D1" w:rsidR="17405166">
        <w:rPr>
          <w:rFonts w:ascii="Arial" w:hAnsi="Arial" w:cs="Arial"/>
          <w:sz w:val="24"/>
          <w:szCs w:val="24"/>
        </w:rPr>
        <w:t xml:space="preserve"> </w:t>
      </w:r>
      <w:r w:rsidRPr="497008D1" w:rsidR="603AE68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97008D1" w:rsidR="603AE68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he disability and professional development sectors</w:t>
      </w:r>
      <w:r w:rsidRPr="497008D1" w:rsidR="2E905E7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Pr="009F12D1" w:rsidR="00D611CD" w:rsidP="009F12D1" w:rsidRDefault="009F12D1" w14:paraId="404E366D" w14:textId="7B45AE00">
      <w:pPr>
        <w:jc w:val="both"/>
        <w:rPr>
          <w:rFonts w:ascii="Arial" w:hAnsi="Arial" w:cs="Arial"/>
          <w:sz w:val="24"/>
          <w:szCs w:val="24"/>
        </w:rPr>
      </w:pPr>
      <w:r w:rsidR="4080EE2D">
        <w:drawing>
          <wp:inline wp14:editId="35503DDD" wp14:anchorId="3B3141E4">
            <wp:extent cx="5029200" cy="2776019"/>
            <wp:effectExtent l="0" t="0" r="0" b="0"/>
            <wp:docPr id="1" name="Picture 1" descr="A diagram of different colored circle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A diagram of different colored circles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7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7FDA2D" w:rsidP="497008D1" w:rsidRDefault="3B7FDA2D" w14:paraId="280AF268" w14:textId="247C55EB">
      <w:pPr>
        <w:jc w:val="both"/>
      </w:pPr>
      <w:r w:rsidRPr="497008D1" w:rsidR="3B7FDA2D">
        <w:rPr>
          <w:rFonts w:ascii="Arial" w:hAnsi="Arial" w:cs="Arial"/>
          <w:sz w:val="24"/>
          <w:szCs w:val="24"/>
        </w:rPr>
        <w:t xml:space="preserve"> </w:t>
      </w:r>
      <w:r>
        <w:br w:type="page"/>
      </w:r>
    </w:p>
    <w:p w:rsidR="3B7FDA2D" w:rsidP="497008D1" w:rsidRDefault="3B7FDA2D" w14:paraId="00BE093E" w14:textId="1140C95D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497008D1" w:rsidR="3B7FDA2D">
        <w:rPr>
          <w:rFonts w:ascii="Arial" w:hAnsi="Arial" w:cs="Arial"/>
          <w:sz w:val="24"/>
          <w:szCs w:val="24"/>
        </w:rPr>
        <w:t>Summary of Session on WPA and DENs</w:t>
      </w:r>
    </w:p>
    <w:p w:rsidR="497008D1" w:rsidP="497008D1" w:rsidRDefault="497008D1" w14:paraId="58BC6278" w14:textId="42AA2073">
      <w:pPr>
        <w:pStyle w:val="Normal"/>
      </w:pPr>
    </w:p>
    <w:p w:rsidR="4080EE2D" w:rsidP="497008D1" w:rsidRDefault="4080EE2D" w14:paraId="79E80CF5" w14:textId="2329DF2C">
      <w:pPr>
        <w:pStyle w:val="Heading1"/>
        <w:spacing w:before="0" w:beforeAutospacing="off" w:after="160" w:afterAutospacing="off" w:line="257" w:lineRule="auto"/>
        <w:rPr>
          <w:rFonts w:ascii="Arial" w:hAnsi="Arial" w:eastAsia="ＭＳ 明朝" w:cs="Arial" w:eastAsiaTheme="minorEastAsia"/>
          <w:b w:val="0"/>
          <w:bCs w:val="0"/>
          <w:color w:val="auto"/>
          <w:sz w:val="22"/>
          <w:szCs w:val="22"/>
        </w:rPr>
      </w:pP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The session offered a dynamic exploratio</w:t>
      </w:r>
      <w:r w:rsidRPr="497008D1" w:rsidR="4080EE2D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>n</w:t>
      </w:r>
      <w:r w:rsidRPr="497008D1" w:rsidR="3A0082E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 xml:space="preserve"> of</w:t>
      </w:r>
      <w:r w:rsidRPr="497008D1" w:rsidR="4080EE2D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 xml:space="preserve"> </w:t>
      </w:r>
      <w:r w:rsidRPr="497008D1" w:rsidR="19BACB99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>the role of disability ERG/Network leaders in ANZ in improving workplace adjustment/accommodation provision.</w:t>
      </w:r>
    </w:p>
    <w:p w:rsidR="75FF3690" w:rsidP="497008D1" w:rsidRDefault="75FF3690" w14:paraId="15E38A34" w14:textId="5CD53730">
      <w:pPr>
        <w:pStyle w:val="Heading1"/>
        <w:spacing w:before="0" w:beforeAutospacing="off" w:after="160" w:afterAutospacing="off" w:line="257" w:lineRule="auto"/>
        <w:rPr>
          <w:rFonts w:ascii="Arial" w:hAnsi="Arial" w:eastAsia="ＭＳ 明朝" w:cs="Arial" w:eastAsiaTheme="minorEastAsia"/>
          <w:b w:val="0"/>
          <w:bCs w:val="0"/>
          <w:noProof w:val="0"/>
          <w:color w:val="auto"/>
          <w:sz w:val="24"/>
          <w:szCs w:val="24"/>
          <w:lang w:val="en-US"/>
        </w:rPr>
      </w:pPr>
      <w:r w:rsidRPr="497008D1" w:rsidR="75FF3690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T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he conversation </w:t>
      </w:r>
      <w:r w:rsidRPr="497008D1" w:rsidR="438BE56C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centered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on confidence-building, storytelling, and grassroots l</w:t>
      </w:r>
      <w:r w:rsidRPr="497008D1" w:rsidR="4080EE2D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>eadership as key drivers of inclusion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 xml:space="preserve"> as 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>participants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 xml:space="preserve"> discussed the way that 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>disability ERG/Networks are</w:t>
      </w:r>
      <w:r w:rsidRPr="497008D1" w:rsidR="6C5AC6BB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>: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 xml:space="preserve"> </w:t>
      </w:r>
    </w:p>
    <w:p w:rsidR="62008524" w:rsidP="497008D1" w:rsidRDefault="62008524" w14:paraId="54E6258E" w14:textId="173B06F0">
      <w:pPr>
        <w:pStyle w:val="Heading1"/>
        <w:numPr>
          <w:ilvl w:val="0"/>
          <w:numId w:val="15"/>
        </w:numPr>
        <w:spacing w:before="0" w:beforeAutospacing="off" w:after="160" w:afterAutospacing="off" w:line="257" w:lineRule="auto"/>
        <w:rPr>
          <w:rFonts w:ascii="Arial" w:hAnsi="Arial" w:eastAsia="ＭＳ 明朝" w:cs="Arial" w:eastAsiaTheme="minorEastAsia"/>
          <w:b w:val="0"/>
          <w:bCs w:val="0"/>
          <w:noProof w:val="0"/>
          <w:color w:val="auto"/>
          <w:sz w:val="24"/>
          <w:szCs w:val="24"/>
          <w:lang w:val="en-US"/>
        </w:rPr>
      </w:pPr>
      <w:r w:rsidRPr="497008D1" w:rsidR="62008524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>S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>upporting their organizations to improve the delivery of workplace adjustments/accommodation</w:t>
      </w:r>
      <w:r w:rsidRPr="497008D1" w:rsidR="3A41EF93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 xml:space="preserve"> by surfa</w:t>
      </w:r>
      <w:r w:rsidRPr="497008D1" w:rsidR="3A41EF93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>cing the lived experience of employees with disabilities</w:t>
      </w: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 xml:space="preserve">. </w:t>
      </w:r>
    </w:p>
    <w:p w:rsidR="0510F6D7" w:rsidP="497008D1" w:rsidRDefault="0510F6D7" w14:paraId="5A526D24" w14:textId="4116413C">
      <w:pPr>
        <w:pStyle w:val="ListParagraph"/>
        <w:numPr>
          <w:ilvl w:val="0"/>
          <w:numId w:val="15"/>
        </w:numPr>
        <w:spacing w:before="0" w:beforeAutospacing="off" w:after="0" w:afterAutospacing="off" w:line="257" w:lineRule="auto"/>
        <w:ind w:right="0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  <w:r w:rsidRPr="497008D1" w:rsidR="0510F6D7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noProof w:val="0"/>
          <w:color w:val="auto"/>
          <w:sz w:val="24"/>
          <w:szCs w:val="24"/>
          <w:lang w:val="en-US" w:eastAsia="en-US" w:bidi="ar-SA"/>
        </w:rPr>
        <w:t>Developing the confidence of colleagues with disabilities to request the adjustments they need to thrive</w:t>
      </w:r>
      <w:r w:rsidRPr="497008D1" w:rsidR="4080EE2D">
        <w:rPr>
          <w:rFonts w:ascii="Arial" w:hAnsi="Arial" w:eastAsia="ＭＳ 明朝" w:cs="Arial" w:asciiTheme="majorAscii" w:hAnsiTheme="majorAscii" w:eastAsiaTheme="minorEastAsia" w:cstheme="majorBidi"/>
          <w:b w:val="0"/>
          <w:bCs w:val="0"/>
          <w:color w:val="auto"/>
          <w:sz w:val="24"/>
          <w:szCs w:val="24"/>
          <w:lang w:eastAsia="en-US" w:bidi="ar-SA"/>
        </w:rPr>
        <w:t>.</w:t>
      </w:r>
    </w:p>
    <w:p w:rsidR="497008D1" w:rsidP="497008D1" w:rsidRDefault="497008D1" w14:paraId="4F2E1440" w14:textId="7128EF6A">
      <w:pPr>
        <w:pStyle w:val="ListParagraph"/>
        <w:spacing w:before="0" w:beforeAutospacing="off" w:after="0" w:afterAutospacing="off" w:line="257" w:lineRule="auto"/>
        <w:ind w:left="720" w:right="0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</w:p>
    <w:p w:rsidR="497008D1" w:rsidP="497008D1" w:rsidRDefault="497008D1" w14:paraId="68177AAB" w14:textId="06B13983">
      <w:pPr>
        <w:pStyle w:val="Normal"/>
        <w:spacing w:before="0" w:beforeAutospacing="off" w:after="0" w:afterAutospacing="off" w:line="257" w:lineRule="auto"/>
        <w:ind w:left="0" w:right="0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</w:p>
    <w:p w:rsidR="4080EE2D" w:rsidP="497008D1" w:rsidRDefault="4080EE2D" w14:paraId="34DB59FF" w14:textId="3334B79F">
      <w:pPr>
        <w:pStyle w:val="Normal"/>
        <w:spacing w:before="0" w:beforeAutospacing="off" w:after="0" w:afterAutospacing="off" w:line="257" w:lineRule="auto"/>
        <w:ind w:left="0" w:right="0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Key </w:t>
      </w:r>
      <w:r w:rsidRPr="497008D1" w:rsidR="0C337644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insights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:</w:t>
      </w:r>
    </w:p>
    <w:p w:rsidR="497008D1" w:rsidP="497008D1" w:rsidRDefault="497008D1" w14:paraId="6B25F81F" w14:textId="39FD99D8">
      <w:pPr>
        <w:pStyle w:val="Normal"/>
        <w:spacing w:before="0" w:beforeAutospacing="off" w:after="0" w:afterAutospacing="off" w:line="257" w:lineRule="auto"/>
        <w:ind w:left="0" w:right="0"/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</w:pPr>
    </w:p>
    <w:p w:rsidR="4080EE2D" w:rsidP="497008D1" w:rsidRDefault="4080EE2D" w14:paraId="49D6E95F" w14:textId="35211EBA">
      <w:pPr>
        <w:pStyle w:val="ListParagraph"/>
        <w:numPr>
          <w:ilvl w:val="0"/>
          <w:numId w:val="26"/>
        </w:numPr>
        <w:spacing w:before="0" w:beforeAutospacing="off" w:after="0" w:afterAutospacing="off" w:line="257" w:lineRule="auto"/>
        <w:ind w:right="0"/>
        <w:jc w:val="both"/>
        <w:rPr>
          <w:rFonts w:ascii="Arial" w:hAnsi="Arial" w:eastAsia="ＭＳ 明朝" w:cs="Arial" w:eastAsiaTheme="minorEastAsia"/>
          <w:b w:val="0"/>
          <w:bCs w:val="0"/>
          <w:color w:val="auto"/>
          <w:sz w:val="22"/>
          <w:szCs w:val="22"/>
        </w:rPr>
      </w:pPr>
      <w:r w:rsidRPr="497008D1" w:rsidR="4080EE2D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>Promoting Storytelling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: ERGs</w:t>
      </w:r>
      <w:r w:rsidRPr="497008D1" w:rsidR="333552C8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/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DENs play a vital role in creating safe spaces for employees to share their experiences. This storytelling not only builds inner confidence but also helps demystify WPA and encourages others to seek support.</w:t>
      </w:r>
    </w:p>
    <w:p w:rsidR="497008D1" w:rsidP="497008D1" w:rsidRDefault="497008D1" w14:paraId="447FC965" w14:textId="3F8C068F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</w:pPr>
    </w:p>
    <w:p w:rsidR="4080EE2D" w:rsidP="497008D1" w:rsidRDefault="4080EE2D" w14:paraId="0B6CA185" w14:textId="3A9EB2DC">
      <w:pPr>
        <w:pStyle w:val="ListParagraph"/>
        <w:numPr>
          <w:ilvl w:val="0"/>
          <w:numId w:val="26"/>
        </w:numPr>
        <w:spacing w:before="0" w:beforeAutospacing="off" w:after="0" w:afterAutospacing="off" w:line="257" w:lineRule="auto"/>
        <w:ind w:right="0"/>
        <w:jc w:val="both"/>
        <w:rPr>
          <w:rFonts w:ascii="Arial" w:hAnsi="Arial" w:eastAsia="ＭＳ 明朝" w:cs="Arial" w:eastAsiaTheme="minorEastAsia"/>
          <w:b w:val="0"/>
          <w:bCs w:val="0"/>
          <w:color w:val="auto"/>
          <w:sz w:val="22"/>
          <w:szCs w:val="22"/>
        </w:rPr>
      </w:pPr>
      <w:r w:rsidRPr="497008D1" w:rsidR="4080EE2D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 xml:space="preserve">Grassroots </w:t>
      </w:r>
      <w:r w:rsidRPr="497008D1" w:rsidR="4080EE2D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>Engagement</w:t>
      </w:r>
      <w:r w:rsidRPr="497008D1" w:rsidR="432E3EC7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 xml:space="preserve"> for Policy Improvement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: 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Several ERG/DEN leaders shared plans to 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initiate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internal conversations and tap into existing resources to better support their 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organisations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. This grassroots approach was 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recognised</w:t>
      </w:r>
      <w:r w:rsidRPr="497008D1" w:rsidR="5104D0C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as a vital channel for surfacing lived experiences and bottom-up insights, helping to inform and shape more inclusive and effective policy improvements. It was seen as essential for driving sustainable cultural change.</w:t>
      </w:r>
    </w:p>
    <w:p w:rsidR="497008D1" w:rsidP="497008D1" w:rsidRDefault="497008D1" w14:paraId="68F445B0" w14:textId="785C096E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</w:pPr>
    </w:p>
    <w:p w:rsidR="4080EE2D" w:rsidP="497008D1" w:rsidRDefault="4080EE2D" w14:paraId="46861B11" w14:textId="1A722CE6">
      <w:pPr>
        <w:pStyle w:val="ListParagraph"/>
        <w:numPr>
          <w:ilvl w:val="0"/>
          <w:numId w:val="26"/>
        </w:numPr>
        <w:spacing w:before="0" w:beforeAutospacing="off" w:after="0" w:afterAutospacing="off" w:line="257" w:lineRule="auto"/>
        <w:ind w:right="0"/>
        <w:jc w:val="both"/>
        <w:rPr>
          <w:rFonts w:ascii="Arial" w:hAnsi="Arial" w:eastAsia="ＭＳ 明朝" w:cs="Arial" w:eastAsiaTheme="minorEastAsia"/>
          <w:b w:val="0"/>
          <w:bCs w:val="0"/>
          <w:color w:val="auto"/>
          <w:sz w:val="22"/>
          <w:szCs w:val="22"/>
        </w:rPr>
      </w:pPr>
      <w:r w:rsidRPr="497008D1" w:rsidR="4080EE2D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 xml:space="preserve">Leadership </w:t>
      </w:r>
      <w:r w:rsidRPr="497008D1" w:rsidR="52B7157A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>Engagement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: Inspired by </w:t>
      </w:r>
      <w:r w:rsidRPr="497008D1" w:rsidR="4DA0B143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PurpleSpace’s</w:t>
      </w:r>
      <w:r w:rsidRPr="497008D1" w:rsidR="58A5486B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hyperlink r:id="Rfce2b879157b4216">
        <w:r w:rsidRPr="497008D1" w:rsidR="4080EE2D">
          <w:rPr>
            <w:rStyle w:val="Hyperlink"/>
            <w:rFonts w:ascii="Arial" w:hAnsi="Arial" w:eastAsia="ＭＳ 明朝" w:cs="Arial" w:eastAsiaTheme="minorEastAsia"/>
            <w:b w:val="0"/>
            <w:bCs w:val="0"/>
            <w:sz w:val="24"/>
            <w:szCs w:val="24"/>
          </w:rPr>
          <w:t>Confident Conversation podcast</w:t>
        </w:r>
      </w:hyperlink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r w:rsidRPr="497008D1" w:rsidR="75DFB0F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where executives with disabilities share what they have learn</w:t>
      </w:r>
      <w:r w:rsidRPr="497008D1" w:rsidR="58683C51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ed</w:t>
      </w:r>
      <w:r w:rsidRPr="497008D1" w:rsidR="75DFB0F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navigating </w:t>
      </w:r>
      <w:r w:rsidRPr="497008D1" w:rsidR="3CD49BD4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disability</w:t>
      </w:r>
      <w:r w:rsidRPr="497008D1" w:rsidR="75DFB0FE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and a successful caree</w:t>
      </w:r>
      <w:r w:rsidRPr="497008D1" w:rsidR="3CDBBBEF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r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,</w:t>
      </w:r>
      <w:r w:rsidRPr="497008D1" w:rsidR="5FDF4537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attendees </w:t>
      </w:r>
      <w:r w:rsidRPr="497008D1" w:rsidR="7A06681C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expressed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strong interest </w:t>
      </w:r>
      <w:r w:rsidRPr="497008D1" w:rsidR="4F7A3FE1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in f</w:t>
      </w:r>
      <w:r w:rsidRPr="497008D1" w:rsidR="283589DA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inding ways to share the stories of disabled execs in ANZ.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This was viewed as a strategic way to drive both cultural and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organisational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transformation.</w:t>
      </w:r>
    </w:p>
    <w:p w:rsidR="497008D1" w:rsidP="497008D1" w:rsidRDefault="497008D1" w14:paraId="4963C438" w14:textId="7461D05A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</w:pPr>
    </w:p>
    <w:p w:rsidR="4080EE2D" w:rsidP="497008D1" w:rsidRDefault="4080EE2D" w14:paraId="075524CB" w14:textId="6DB1C783">
      <w:pPr>
        <w:pStyle w:val="ListParagraph"/>
        <w:numPr>
          <w:ilvl w:val="0"/>
          <w:numId w:val="26"/>
        </w:numPr>
        <w:spacing w:before="0" w:beforeAutospacing="off" w:after="0" w:afterAutospacing="off" w:line="257" w:lineRule="auto"/>
        <w:ind w:right="0"/>
        <w:jc w:val="both"/>
        <w:rPr>
          <w:rFonts w:ascii="Arial" w:hAnsi="Arial" w:eastAsia="ＭＳ 明朝" w:cs="Arial" w:eastAsiaTheme="minorEastAsia"/>
          <w:b w:val="0"/>
          <w:bCs w:val="0"/>
          <w:color w:val="auto"/>
          <w:sz w:val="22"/>
          <w:szCs w:val="22"/>
        </w:rPr>
      </w:pPr>
      <w:r w:rsidRPr="497008D1" w:rsidR="4080EE2D">
        <w:rPr>
          <w:rFonts w:ascii="Arial" w:hAnsi="Arial" w:eastAsia="ＭＳ 明朝" w:cs="Arial" w:eastAsiaTheme="minorEastAsia"/>
          <w:b w:val="1"/>
          <w:bCs w:val="1"/>
          <w:color w:val="auto"/>
          <w:sz w:val="24"/>
          <w:szCs w:val="24"/>
        </w:rPr>
        <w:t>Policy Activation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: DENs are actively promoting WPA policies and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practical tools such as 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>adjustment</w:t>
      </w:r>
      <w:r w:rsidRPr="497008D1" w:rsidR="4080EE2D">
        <w:rPr>
          <w:rFonts w:ascii="Arial" w:hAnsi="Arial" w:eastAsia="ＭＳ 明朝" w:cs="Arial" w:eastAsiaTheme="minorEastAsia"/>
          <w:b w:val="0"/>
          <w:bCs w:val="0"/>
          <w:color w:val="auto"/>
          <w:sz w:val="24"/>
          <w:szCs w:val="24"/>
        </w:rPr>
        <w:t xml:space="preserve"> passports and profile tools. These resources empower employees to confidently request the support they need.</w:t>
      </w:r>
    </w:p>
    <w:p w:rsidR="75BC6AAB" w:rsidP="497008D1" w:rsidRDefault="75BC6AAB" w14:paraId="5B2822E4" w14:textId="22957EA3"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 w:rsidRPr="497008D1" w:rsidR="75BC6AAB">
        <w:rPr>
          <w:rFonts w:ascii="Arial" w:hAnsi="Arial" w:eastAsia="Arial" w:cs="Arial"/>
          <w:sz w:val="24"/>
          <w:szCs w:val="24"/>
        </w:rPr>
        <w:t>Delegates shared th</w:t>
      </w:r>
      <w:r w:rsidRPr="497008D1" w:rsidR="24D4AFD8">
        <w:rPr>
          <w:rFonts w:ascii="Arial" w:hAnsi="Arial" w:eastAsia="Arial" w:cs="Arial"/>
          <w:sz w:val="24"/>
          <w:szCs w:val="24"/>
        </w:rPr>
        <w:t>eir</w:t>
      </w:r>
      <w:r w:rsidRPr="497008D1" w:rsidR="75BC6AAB">
        <w:rPr>
          <w:rFonts w:ascii="Arial" w:hAnsi="Arial" w:eastAsia="Arial" w:cs="Arial"/>
          <w:sz w:val="24"/>
          <w:szCs w:val="24"/>
        </w:rPr>
        <w:t xml:space="preserve"> views on how the ANZ </w:t>
      </w:r>
      <w:r w:rsidRPr="497008D1" w:rsidR="2C8889CB">
        <w:rPr>
          <w:rFonts w:ascii="Arial" w:hAnsi="Arial" w:eastAsia="Arial" w:cs="Arial"/>
          <w:sz w:val="24"/>
          <w:szCs w:val="24"/>
        </w:rPr>
        <w:t>disability</w:t>
      </w:r>
      <w:r w:rsidRPr="497008D1" w:rsidR="75BC6AAB">
        <w:rPr>
          <w:rFonts w:ascii="Arial" w:hAnsi="Arial" w:eastAsia="Arial" w:cs="Arial"/>
          <w:sz w:val="24"/>
          <w:szCs w:val="24"/>
        </w:rPr>
        <w:t xml:space="preserve"> ERG/Network movement might develop over the next three years and the support that </w:t>
      </w:r>
      <w:r w:rsidRPr="497008D1" w:rsidR="5545664D">
        <w:rPr>
          <w:rFonts w:ascii="Arial" w:hAnsi="Arial" w:eastAsia="Arial" w:cs="Arial"/>
          <w:sz w:val="24"/>
          <w:szCs w:val="24"/>
        </w:rPr>
        <w:t>would</w:t>
      </w:r>
      <w:r w:rsidRPr="497008D1" w:rsidR="75BC6AAB">
        <w:rPr>
          <w:rFonts w:ascii="Arial" w:hAnsi="Arial" w:eastAsia="Arial" w:cs="Arial"/>
          <w:sz w:val="24"/>
          <w:szCs w:val="24"/>
        </w:rPr>
        <w:t xml:space="preserve"> </w:t>
      </w:r>
      <w:r w:rsidRPr="497008D1" w:rsidR="0B43D774">
        <w:rPr>
          <w:rFonts w:ascii="Arial" w:hAnsi="Arial" w:eastAsia="Arial" w:cs="Arial"/>
          <w:sz w:val="24"/>
          <w:szCs w:val="24"/>
        </w:rPr>
        <w:t>enable</w:t>
      </w:r>
      <w:r w:rsidRPr="497008D1" w:rsidR="75BC6AAB">
        <w:rPr>
          <w:rFonts w:ascii="Arial" w:hAnsi="Arial" w:eastAsia="Arial" w:cs="Arial"/>
          <w:sz w:val="24"/>
          <w:szCs w:val="24"/>
        </w:rPr>
        <w:t xml:space="preserve"> its growth. </w:t>
      </w:r>
    </w:p>
    <w:p w:rsidR="2DA4F3A6" w:rsidP="497008D1" w:rsidRDefault="2DA4F3A6" w14:paraId="6A71E29A" w14:textId="72163FA3">
      <w:pPr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497008D1" w:rsidR="2DA4F3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would a thriving Australia and New Zealand DEN movement look like in 3 years’ time?</w:t>
      </w:r>
    </w:p>
    <w:p w:rsidR="56997FF6" w:rsidP="497008D1" w:rsidRDefault="56997FF6" w14:paraId="41A10A3D" w14:textId="3BC06DAB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Measurable growth and impact </w:t>
      </w:r>
      <w:r w:rsidRPr="497008D1" w:rsidR="529FBD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demonstrate</w:t>
      </w:r>
      <w:r w:rsidRPr="497008D1" w:rsidR="04F075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97008D1" w:rsidR="1BECB3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value contribution</w:t>
      </w:r>
      <w:r w:rsidRPr="497008D1" w:rsidR="04F075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ANZ 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disability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ERG/DEN movement.</w:t>
      </w:r>
    </w:p>
    <w:p w:rsidR="75AABAAF" w:rsidP="497008D1" w:rsidRDefault="75AABAAF" w14:paraId="1C4D7F0D" w14:textId="62D2180F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7008D1" w:rsidR="75AAB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ERG/DENs in ANZ collaborating and creating impact locally and globally.</w:t>
      </w:r>
    </w:p>
    <w:p w:rsidR="56997FF6" w:rsidP="497008D1" w:rsidRDefault="56997FF6" w14:paraId="2D2A3C72" w14:textId="0B0A1DD6">
      <w:pPr>
        <w:pStyle w:val="ListParagraph"/>
        <w:numPr>
          <w:ilvl w:val="0"/>
          <w:numId w:val="1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senior leaders with 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disabilities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sharing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experiences to help 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  <w:r w:rsidRPr="497008D1" w:rsidR="103C40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97008D1" w:rsidR="56997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build confidence and trust. </w:t>
      </w:r>
    </w:p>
    <w:p w:rsidR="497008D1" w:rsidP="497008D1" w:rsidRDefault="497008D1" w14:paraId="40BAFE53" w14:textId="03F415BF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4343390" w:rsidP="497008D1" w:rsidRDefault="64343390" w14:paraId="1E694E65" w14:textId="5C23A4F3">
      <w:pPr>
        <w:pStyle w:val="Normal"/>
        <w:ind w:left="0"/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</w:pPr>
      <w:r w:rsidRPr="497008D1" w:rsidR="64343390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The three things that would support the growth and impact of the ANZ </w:t>
      </w:r>
      <w:r w:rsidRPr="497008D1" w:rsidR="64343390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ERG/Network </w:t>
      </w:r>
      <w:r w:rsidRPr="497008D1" w:rsidR="64343390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movement</w:t>
      </w:r>
      <w:r w:rsidRPr="497008D1" w:rsidR="5AD7C938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:</w:t>
      </w:r>
    </w:p>
    <w:p w:rsidR="1C0594D5" w:rsidP="497008D1" w:rsidRDefault="1C0594D5" w14:paraId="02282000" w14:textId="67F74F9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497008D1" w:rsidR="1C0594D5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Regular </w:t>
      </w:r>
      <w:r w:rsidRPr="497008D1" w:rsidR="252D4D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networking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and collaboration 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between ANZ ERG/DEN leaders </w:t>
      </w:r>
    </w:p>
    <w:p w:rsidR="5AD7C938" w:rsidP="497008D1" w:rsidRDefault="5AD7C938" w14:paraId="3E76FF43" w14:textId="3A13739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L</w:t>
      </w:r>
      <w:r w:rsidRPr="497008D1" w:rsidR="1F3D28C2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earning 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&amp;</w:t>
      </w:r>
      <w:r w:rsidRPr="497008D1" w:rsidR="54C9CA2D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D</w:t>
      </w:r>
      <w:r w:rsidRPr="497008D1" w:rsidR="74D76BC1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evelopment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to 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develop leadership capacity 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of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ANZ ERG/DEN leaders</w:t>
      </w:r>
      <w:r w:rsidRPr="497008D1" w:rsidR="53CC8481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.</w:t>
      </w:r>
      <w:r w:rsidRPr="497008D1" w:rsidR="5AD7C93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</w:p>
    <w:p w:rsidR="31250B64" w:rsidP="497008D1" w:rsidRDefault="31250B64" w14:paraId="0C0F4553" w14:textId="69FA3CD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497008D1" w:rsidR="31250B64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Tailored collateral to support empl</w:t>
      </w:r>
      <w:r w:rsidRPr="497008D1" w:rsidR="31250B64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oyees with disabilities in ANZ to develop the confidence to share aspects of </w:t>
      </w:r>
      <w:r w:rsidRPr="497008D1" w:rsidR="31250B64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their story </w:t>
      </w:r>
      <w:r w:rsidRPr="497008D1" w:rsidR="78AE45E6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and request the workplace </w:t>
      </w:r>
      <w:r w:rsidRPr="497008D1" w:rsidR="39C8269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adjustments they</w:t>
      </w:r>
      <w:r w:rsidRPr="497008D1" w:rsidR="78AE45E6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need to thrive.</w:t>
      </w:r>
    </w:p>
    <w:p w:rsidR="23C0FB48" w:rsidP="497008D1" w:rsidRDefault="23C0FB48" w14:paraId="1849584C" w14:textId="13AA07FF">
      <w:pPr>
        <w:pStyle w:val="Heading2"/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eastAsia="en-US" w:bidi="ar-SA"/>
        </w:rPr>
        <w:t>Our Shared Vision for the Future of Disability Inclusion in ANZ</w:t>
      </w:r>
    </w:p>
    <w:p w:rsidR="497008D1" w:rsidP="497008D1" w:rsidRDefault="497008D1" w14:paraId="586C4EF9" w14:textId="19728777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</w:p>
    <w:p w:rsidR="23C0FB48" w:rsidP="497008D1" w:rsidRDefault="23C0FB48" w14:paraId="2724F07F" w14:textId="21417827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Your collective responses have shaped a compelling vision for what a thriving Disability Employee Network (DEN) movement could look like by 2028:</w:t>
      </w:r>
    </w:p>
    <w:p w:rsidR="23C0FB48" w:rsidP="497008D1" w:rsidRDefault="23C0FB48" w14:paraId="6B5698D6" w14:textId="252BD69A">
      <w:pPr>
        <w:pStyle w:val="ListParagraph"/>
        <w:numPr>
          <w:ilvl w:val="0"/>
          <w:numId w:val="21"/>
        </w:numPr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C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onnected and Collaborative</w:t>
      </w:r>
    </w:p>
    <w:p w:rsidR="23C0FB48" w:rsidP="497008D1" w:rsidRDefault="23C0FB48" w14:paraId="724D9303" w14:textId="13BA9FE3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A dynamic, well-connected community of DEN and ERG leaders meeting regularly across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organisations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and borders to share resources, insights, and mutual support.</w:t>
      </w:r>
    </w:p>
    <w:p w:rsidR="23C0FB48" w:rsidP="497008D1" w:rsidRDefault="23C0FB48" w14:paraId="4693793A" w14:textId="51560C26">
      <w:pPr>
        <w:pStyle w:val="ListParagraph"/>
        <w:numPr>
          <w:ilvl w:val="0"/>
          <w:numId w:val="22"/>
        </w:numPr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Data-Informed Progress</w:t>
      </w:r>
    </w:p>
    <w:p w:rsidR="23C0FB48" w:rsidP="497008D1" w:rsidRDefault="23C0FB48" w14:paraId="25D808AE" w14:textId="78828044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Transparent sharing of data on DEN membership, workplace adjustments, and strategic outcomes to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monitor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progress and guide decision-making.</w:t>
      </w:r>
    </w:p>
    <w:p w:rsidR="23C0FB48" w:rsidP="497008D1" w:rsidRDefault="23C0FB48" w14:paraId="0AA1166F" w14:textId="0A895B95">
      <w:pPr>
        <w:pStyle w:val="ListParagraph"/>
        <w:numPr>
          <w:ilvl w:val="0"/>
          <w:numId w:val="23"/>
        </w:numPr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Leadership and Representation</w:t>
      </w:r>
    </w:p>
    <w:p w:rsidR="23C0FB48" w:rsidP="497008D1" w:rsidRDefault="23C0FB48" w14:paraId="7903CD0F" w14:textId="60DFB888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Senior leaders actively </w:t>
      </w:r>
      <w:r w:rsidRPr="497008D1" w:rsidR="74DFB48E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champion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disability inclusion, with more people with disabilities in leadership roles and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recognised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for their strategic contributions.</w:t>
      </w:r>
    </w:p>
    <w:p w:rsidR="23C0FB48" w:rsidP="497008D1" w:rsidRDefault="23C0FB48" w14:paraId="15377059" w14:textId="543F9E31">
      <w:pPr>
        <w:pStyle w:val="ListParagraph"/>
        <w:numPr>
          <w:ilvl w:val="0"/>
          <w:numId w:val="24"/>
        </w:numPr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Strategic Integration</w:t>
      </w:r>
    </w:p>
    <w:p w:rsidR="23C0FB48" w:rsidP="497008D1" w:rsidRDefault="23C0FB48" w14:paraId="3434C598" w14:textId="220D8B1C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Accessibility and inclusion </w:t>
      </w:r>
      <w:r w:rsidRPr="497008D1" w:rsidR="5438C7A6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are embedded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into core business processes, with DENs resourced and acknowledged as key drivers of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organisational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change.</w:t>
      </w:r>
    </w:p>
    <w:p w:rsidR="23C0FB48" w:rsidP="497008D1" w:rsidRDefault="23C0FB48" w14:paraId="263A8523" w14:textId="43321064">
      <w:pPr>
        <w:pStyle w:val="ListParagraph"/>
        <w:numPr>
          <w:ilvl w:val="0"/>
          <w:numId w:val="25"/>
        </w:numPr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Cultural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Normalisation</w:t>
      </w:r>
    </w:p>
    <w:p w:rsidR="23C0FB48" w:rsidP="497008D1" w:rsidRDefault="23C0FB48" w14:paraId="75DA21E3" w14:textId="78BD0E70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A future where inclusion is seamless, diversity is celebrated, and asking for support is met with confidence and understanding.</w:t>
      </w:r>
    </w:p>
    <w:p w:rsidR="23C0FB48" w:rsidP="497008D1" w:rsidRDefault="23C0FB48" w14:paraId="3780BD55" w14:textId="33F8213C">
      <w:pPr>
        <w:pStyle w:val="Normal"/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eastAsia="en-US" w:bidi="ar-SA"/>
        </w:rPr>
        <w:t xml:space="preserve">Looking Ahead: </w:t>
      </w:r>
      <w:r w:rsidRPr="497008D1" w:rsidR="23C0FB48"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eastAsia="en-US" w:bidi="ar-SA"/>
        </w:rPr>
        <w:t>PurpleSpace’s</w:t>
      </w:r>
      <w:r w:rsidRPr="497008D1" w:rsidR="23C0FB48"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eastAsia="en-US" w:bidi="ar-SA"/>
        </w:rPr>
        <w:t xml:space="preserve"> Three-Year ANZ Strategy</w:t>
      </w:r>
    </w:p>
    <w:p w:rsidR="23C0FB48" w:rsidP="497008D1" w:rsidRDefault="23C0FB48" w14:paraId="1810DDF9" w14:textId="6865F82E">
      <w:pPr>
        <w:pStyle w:val="Normal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At the upcoming ANZ Peer Leadership Roundtable,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PurpleSpace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will present its three-year strategy for the region. Key strategic questions we will explore include:</w:t>
      </w:r>
    </w:p>
    <w:p w:rsidR="23C0FB48" w:rsidP="497008D1" w:rsidRDefault="23C0FB48" w14:paraId="39E27907" w14:textId="34069AB6">
      <w:pPr>
        <w:pStyle w:val="ListParagraph"/>
        <w:numPr>
          <w:ilvl w:val="0"/>
          <w:numId w:val="20"/>
        </w:numPr>
        <w:spacing w:after="240" w:afterAutospacing="off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Tailoring Learning and Development</w:t>
      </w:r>
      <w:r>
        <w:br/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How can we better shape our learning and development opportunities to meet the specific needs of the ANZ audience?</w:t>
      </w:r>
    </w:p>
    <w:p w:rsidR="497008D1" w:rsidP="497008D1" w:rsidRDefault="497008D1" w14:paraId="5BED1299" w14:textId="28ED111C">
      <w:pPr>
        <w:pStyle w:val="ListParagraph"/>
        <w:spacing w:after="240" w:afterAutospacing="off"/>
        <w:ind w:left="720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</w:p>
    <w:p w:rsidR="23C0FB48" w:rsidP="497008D1" w:rsidRDefault="23C0FB48" w14:paraId="3A6CB94D" w14:textId="57F49DB4">
      <w:pPr>
        <w:pStyle w:val="ListParagraph"/>
        <w:numPr>
          <w:ilvl w:val="0"/>
          <w:numId w:val="20"/>
        </w:numPr>
        <w:spacing w:before="240" w:beforeAutospacing="off" w:after="0" w:afterAutospacing="off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Effective Convening Models</w:t>
      </w:r>
      <w:r>
        <w:br/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What is the most impactful way to bring ANZ ERG/DEN leaders together</w:t>
      </w:r>
      <w:r w:rsidRPr="497008D1" w:rsidR="3403AC0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? S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hould we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prioritise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in-person, virtual, or hybrid formats?</w:t>
      </w:r>
    </w:p>
    <w:p w:rsidR="497008D1" w:rsidP="497008D1" w:rsidRDefault="497008D1" w14:paraId="2FFFA744" w14:textId="79DB1967">
      <w:pPr>
        <w:pStyle w:val="ListParagraph"/>
        <w:spacing w:before="240" w:beforeAutospacing="off" w:after="0" w:afterAutospacing="off"/>
        <w:ind w:left="720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</w:p>
    <w:p w:rsidR="23C0FB48" w:rsidP="497008D1" w:rsidRDefault="23C0FB48" w14:paraId="782B9415" w14:textId="532AA3B3">
      <w:pPr>
        <w:pStyle w:val="ListParagraph"/>
        <w:numPr>
          <w:ilvl w:val="0"/>
          <w:numId w:val="20"/>
        </w:numPr>
        <w:spacing w:after="0" w:afterAutospacing="off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Investment for Impact</w:t>
      </w:r>
      <w:r>
        <w:br/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What level of investment is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required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to achieve the outcomes we envision for the ANZ region?</w:t>
      </w:r>
    </w:p>
    <w:p w:rsidR="497008D1" w:rsidP="497008D1" w:rsidRDefault="497008D1" w14:paraId="58C3D9A2" w14:textId="6989CE39">
      <w:pPr>
        <w:pStyle w:val="ListParagraph"/>
        <w:spacing w:after="0" w:afterAutospacing="off"/>
        <w:ind w:left="720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</w:p>
    <w:p w:rsidR="23C0FB48" w:rsidP="497008D1" w:rsidRDefault="23C0FB48" w14:paraId="46A07F74" w14:textId="1E3280F4">
      <w:pPr>
        <w:pStyle w:val="ListParagraph"/>
        <w:numPr>
          <w:ilvl w:val="0"/>
          <w:numId w:val="20"/>
        </w:numPr>
        <w:spacing w:after="0" w:afterAutospacing="off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Global Integration</w:t>
      </w:r>
      <w:r>
        <w:br/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What role should the ANZ ERG/DEN community play within 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PurpleSpace’s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global Network of Networks?</w:t>
      </w:r>
      <w:r w:rsidRPr="497008D1" w:rsidR="23C0FB48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</w:p>
    <w:p w:rsidR="497008D1" w:rsidP="497008D1" w:rsidRDefault="497008D1" w14:paraId="563482BD" w14:textId="2B1207C1">
      <w:pPr>
        <w:pStyle w:val="ListParagraph"/>
        <w:spacing w:after="0" w:afterAutospacing="off"/>
        <w:ind w:left="720"/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</w:pPr>
    </w:p>
    <w:p w:rsidRPr="009660B4" w:rsidR="009660B4" w:rsidP="497008D1" w:rsidRDefault="009660B4" w14:paraId="72C576EB" w14:textId="77777777">
      <w:pPr>
        <w:jc w:val="both"/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val="en-AU" w:eastAsia="en-US" w:bidi="ar-SA"/>
        </w:rPr>
      </w:pPr>
      <w:r w:rsidRPr="497008D1" w:rsidR="000C6AB2">
        <w:rPr>
          <w:rFonts w:ascii="Arial" w:hAnsi="Arial" w:eastAsia="ＭＳ ゴシック" w:cs="Arial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4"/>
          <w:szCs w:val="24"/>
          <w:lang w:val="en-AU" w:eastAsia="en-US" w:bidi="ar-SA"/>
        </w:rPr>
        <w:t>What’s Coming Up</w:t>
      </w:r>
    </w:p>
    <w:p w:rsidRPr="009660B4" w:rsidR="009660B4" w:rsidP="009660B4" w:rsidRDefault="009660B4" w14:paraId="4E2937F4" w14:textId="77777777">
      <w:pPr>
        <w:jc w:val="both"/>
        <w:rPr>
          <w:rFonts w:ascii="Arial" w:hAnsi="Arial" w:cs="Arial"/>
          <w:sz w:val="24"/>
          <w:szCs w:val="24"/>
          <w:lang w:val="en-AU"/>
        </w:rPr>
      </w:pPr>
      <w:r w:rsidRPr="009660B4">
        <w:rPr>
          <w:rFonts w:ascii="Arial" w:hAnsi="Arial" w:cs="Arial"/>
          <w:sz w:val="24"/>
          <w:szCs w:val="24"/>
          <w:lang w:val="en-AU"/>
        </w:rPr>
        <w:t>Upcoming events include:</w:t>
      </w:r>
    </w:p>
    <w:p w:rsidRPr="009660B4" w:rsidR="009660B4" w:rsidP="00B2225B" w:rsidRDefault="009660B4" w14:paraId="1E54663B" w14:textId="214A5E2D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n-AU"/>
        </w:rPr>
      </w:pPr>
      <w:r w:rsidRPr="009660B4">
        <w:rPr>
          <w:rFonts w:ascii="Arial" w:hAnsi="Arial" w:cs="Arial"/>
          <w:b/>
          <w:bCs/>
          <w:sz w:val="24"/>
          <w:szCs w:val="24"/>
          <w:lang w:val="en-AU"/>
        </w:rPr>
        <w:t>#PositivelyPurple Sydney Hub</w:t>
      </w:r>
      <w:r w:rsidR="00B2225B">
        <w:rPr>
          <w:rFonts w:ascii="Arial" w:hAnsi="Arial" w:cs="Arial"/>
          <w:b/>
          <w:bCs/>
          <w:sz w:val="24"/>
          <w:szCs w:val="24"/>
          <w:lang w:val="en-AU"/>
        </w:rPr>
        <w:t xml:space="preserve"> hosted globally by CISCO</w:t>
      </w:r>
      <w:r w:rsidR="00B2225B">
        <w:rPr>
          <w:rFonts w:ascii="Arial" w:hAnsi="Arial" w:cs="Arial"/>
          <w:sz w:val="24"/>
          <w:szCs w:val="24"/>
          <w:lang w:val="en-AU"/>
        </w:rPr>
        <w:t xml:space="preserve">: </w:t>
      </w:r>
      <w:r w:rsidRPr="009660B4">
        <w:rPr>
          <w:rFonts w:ascii="Arial" w:hAnsi="Arial" w:cs="Arial"/>
          <w:sz w:val="24"/>
          <w:szCs w:val="24"/>
          <w:lang w:val="en-AU"/>
        </w:rPr>
        <w:t>5 November 2025</w:t>
      </w:r>
    </w:p>
    <w:p w:rsidRPr="009660B4" w:rsidR="00D611CD" w:rsidP="497008D1" w:rsidRDefault="00D611CD" w14:paraId="5C15BBA8" w14:textId="24A94FCB">
      <w:pPr>
        <w:numPr>
          <w:ilvl w:val="0"/>
          <w:numId w:val="13"/>
        </w:numPr>
        <w:jc w:val="both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000C6AB2">
        <w:rPr>
          <w:rFonts w:ascii="Arial" w:hAnsi="Arial" w:cs="Arial"/>
          <w:b w:val="1"/>
          <w:bCs w:val="1"/>
          <w:sz w:val="24"/>
          <w:szCs w:val="24"/>
          <w:lang w:val="en-AU"/>
        </w:rPr>
        <w:t>ANZ Peer Group Roundtable</w:t>
      </w:r>
      <w:r w:rsidRPr="497008D1" w:rsidR="15AAD58E">
        <w:rPr>
          <w:rFonts w:ascii="Arial" w:hAnsi="Arial" w:cs="Arial"/>
          <w:sz w:val="24"/>
          <w:szCs w:val="24"/>
          <w:lang w:val="en-AU"/>
        </w:rPr>
        <w:t xml:space="preserve">: </w:t>
      </w:r>
      <w:r w:rsidRPr="497008D1" w:rsidR="000C6AB2">
        <w:rPr>
          <w:rFonts w:ascii="Arial" w:hAnsi="Arial" w:cs="Arial"/>
          <w:sz w:val="24"/>
          <w:szCs w:val="24"/>
          <w:lang w:val="en-AU"/>
        </w:rPr>
        <w:t>February 2026</w:t>
      </w:r>
      <w:r w:rsidRPr="497008D1" w:rsidR="20301336">
        <w:rPr>
          <w:rFonts w:ascii="Arial" w:hAnsi="Arial" w:cs="Arial"/>
          <w:sz w:val="24"/>
          <w:szCs w:val="24"/>
          <w:lang w:val="en-AU"/>
        </w:rPr>
        <w:t xml:space="preserve"> </w:t>
      </w:r>
    </w:p>
    <w:p w:rsidRPr="009660B4" w:rsidR="00D611CD" w:rsidP="497008D1" w:rsidRDefault="00D611CD" w14:paraId="4BA6A8B9" w14:textId="3997798F">
      <w:pPr>
        <w:ind w:left="0"/>
        <w:jc w:val="both"/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497008D1" w:rsidR="20301336">
        <w:rPr>
          <w:rFonts w:ascii="Arial" w:hAnsi="Arial" w:eastAsia="ＭＳ 明朝" w:cs="Arial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Together, we are shaping a movement that is collaborative, bold, data-informed, and deeply human. Thank you for your leadership, your stories, and your commitment to building a more inclusive future.</w:t>
      </w:r>
    </w:p>
    <w:sectPr w:rsidRPr="009660B4" w:rsidR="00D611C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jmj7l5rSw0yVb" int2:id="almGyh7n">
      <int2:state int2:type="spell" int2:value="Rejected"/>
    </int2:textHash>
    <int2:textHash int2:hashCode="FMWLs9Wxv6cGJX" int2:id="J1FpmMm4">
      <int2:state int2:type="spell" int2:value="Rejected"/>
    </int2:textHash>
    <int2:bookmark int2:bookmarkName="_Int_XOwBeBz2" int2:invalidationBookmarkName="" int2:hashCode="LNdIS8GxX8z/gi" int2:id="UdUyUQLr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17ac5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ff79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0c8c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0e9c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1f1d5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cf21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339f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ebed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2e3a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596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41b3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9a55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F6173A2"/>
    <w:multiLevelType w:val="multilevel"/>
    <w:tmpl w:val="B9C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24D2919"/>
    <w:multiLevelType w:val="multilevel"/>
    <w:tmpl w:val="B3B0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D6748"/>
    <w:multiLevelType w:val="hybridMultilevel"/>
    <w:tmpl w:val="B4C67C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4F23CF"/>
    <w:multiLevelType w:val="multilevel"/>
    <w:tmpl w:val="D152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712442A"/>
    <w:multiLevelType w:val="multilevel"/>
    <w:tmpl w:val="9FFE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1422143030">
    <w:abstractNumId w:val="8"/>
  </w:num>
  <w:num w:numId="2" w16cid:durableId="1982730745">
    <w:abstractNumId w:val="6"/>
  </w:num>
  <w:num w:numId="3" w16cid:durableId="447165665">
    <w:abstractNumId w:val="5"/>
  </w:num>
  <w:num w:numId="4" w16cid:durableId="1562718020">
    <w:abstractNumId w:val="4"/>
  </w:num>
  <w:num w:numId="5" w16cid:durableId="622493204">
    <w:abstractNumId w:val="7"/>
  </w:num>
  <w:num w:numId="6" w16cid:durableId="1760249374">
    <w:abstractNumId w:val="3"/>
  </w:num>
  <w:num w:numId="7" w16cid:durableId="383674477">
    <w:abstractNumId w:val="2"/>
  </w:num>
  <w:num w:numId="8" w16cid:durableId="354428503">
    <w:abstractNumId w:val="1"/>
  </w:num>
  <w:num w:numId="9" w16cid:durableId="1353149463">
    <w:abstractNumId w:val="0"/>
  </w:num>
  <w:num w:numId="10" w16cid:durableId="314916383">
    <w:abstractNumId w:val="11"/>
  </w:num>
  <w:num w:numId="11" w16cid:durableId="133498000">
    <w:abstractNumId w:val="12"/>
  </w:num>
  <w:num w:numId="12" w16cid:durableId="1354572833">
    <w:abstractNumId w:val="13"/>
  </w:num>
  <w:num w:numId="13" w16cid:durableId="152913309">
    <w:abstractNumId w:val="9"/>
  </w:num>
  <w:num w:numId="14" w16cid:durableId="126087273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960"/>
    <w:rsid w:val="000C6AB2"/>
    <w:rsid w:val="0015074B"/>
    <w:rsid w:val="0029639D"/>
    <w:rsid w:val="00326F90"/>
    <w:rsid w:val="003D239B"/>
    <w:rsid w:val="00761EE1"/>
    <w:rsid w:val="00961C95"/>
    <w:rsid w:val="009660B4"/>
    <w:rsid w:val="009F12D1"/>
    <w:rsid w:val="00A702E7"/>
    <w:rsid w:val="00AA1D8D"/>
    <w:rsid w:val="00B2225B"/>
    <w:rsid w:val="00B47730"/>
    <w:rsid w:val="00CB0664"/>
    <w:rsid w:val="00D611CD"/>
    <w:rsid w:val="00FC693F"/>
    <w:rsid w:val="00FD1A8E"/>
    <w:rsid w:val="01128FAB"/>
    <w:rsid w:val="013B760A"/>
    <w:rsid w:val="01A05F7E"/>
    <w:rsid w:val="0320F53B"/>
    <w:rsid w:val="04F07522"/>
    <w:rsid w:val="0510F6D7"/>
    <w:rsid w:val="05A4C5AE"/>
    <w:rsid w:val="06388F5E"/>
    <w:rsid w:val="0662819E"/>
    <w:rsid w:val="06AE3D1F"/>
    <w:rsid w:val="071D204B"/>
    <w:rsid w:val="0750F376"/>
    <w:rsid w:val="08AF89A8"/>
    <w:rsid w:val="08C46ABC"/>
    <w:rsid w:val="09458C4F"/>
    <w:rsid w:val="09E53D39"/>
    <w:rsid w:val="0A08D76D"/>
    <w:rsid w:val="0A36ED04"/>
    <w:rsid w:val="0A4BF7E8"/>
    <w:rsid w:val="0A96397D"/>
    <w:rsid w:val="0B43D774"/>
    <w:rsid w:val="0C337644"/>
    <w:rsid w:val="0C94F758"/>
    <w:rsid w:val="0CC9AD5F"/>
    <w:rsid w:val="0D9ACBEA"/>
    <w:rsid w:val="0E18207D"/>
    <w:rsid w:val="0F6FFA5F"/>
    <w:rsid w:val="0F905186"/>
    <w:rsid w:val="0FF105AF"/>
    <w:rsid w:val="103C403E"/>
    <w:rsid w:val="10DD6C31"/>
    <w:rsid w:val="1219D2EF"/>
    <w:rsid w:val="125D1FE2"/>
    <w:rsid w:val="12860304"/>
    <w:rsid w:val="13574AB2"/>
    <w:rsid w:val="13A2A8F8"/>
    <w:rsid w:val="151447F2"/>
    <w:rsid w:val="15AAD58E"/>
    <w:rsid w:val="15E67EAF"/>
    <w:rsid w:val="160806AE"/>
    <w:rsid w:val="16166E3D"/>
    <w:rsid w:val="16A52A75"/>
    <w:rsid w:val="17405166"/>
    <w:rsid w:val="1763171C"/>
    <w:rsid w:val="19BACB99"/>
    <w:rsid w:val="1B225C64"/>
    <w:rsid w:val="1BBAC1C0"/>
    <w:rsid w:val="1BECB335"/>
    <w:rsid w:val="1C005222"/>
    <w:rsid w:val="1C0594D5"/>
    <w:rsid w:val="1CA2E716"/>
    <w:rsid w:val="1DBADB30"/>
    <w:rsid w:val="1DCDF688"/>
    <w:rsid w:val="1DDA5644"/>
    <w:rsid w:val="1F3D28C2"/>
    <w:rsid w:val="1F7B6F01"/>
    <w:rsid w:val="1FF2FB4A"/>
    <w:rsid w:val="20301336"/>
    <w:rsid w:val="205A195C"/>
    <w:rsid w:val="21A90931"/>
    <w:rsid w:val="2250616C"/>
    <w:rsid w:val="229C087F"/>
    <w:rsid w:val="22C86B94"/>
    <w:rsid w:val="22C919FC"/>
    <w:rsid w:val="23C0FB48"/>
    <w:rsid w:val="24D4AFD8"/>
    <w:rsid w:val="252D4D48"/>
    <w:rsid w:val="263DB5C6"/>
    <w:rsid w:val="26BAB848"/>
    <w:rsid w:val="271904A8"/>
    <w:rsid w:val="283589DA"/>
    <w:rsid w:val="2A986C1F"/>
    <w:rsid w:val="2B1ACDD3"/>
    <w:rsid w:val="2C8889CB"/>
    <w:rsid w:val="2D54A5FB"/>
    <w:rsid w:val="2D9187F7"/>
    <w:rsid w:val="2DA4F3A6"/>
    <w:rsid w:val="2E2F426F"/>
    <w:rsid w:val="2E905E7A"/>
    <w:rsid w:val="2EB8A264"/>
    <w:rsid w:val="2F56E481"/>
    <w:rsid w:val="2F8E9FE9"/>
    <w:rsid w:val="2FA839FB"/>
    <w:rsid w:val="31250B64"/>
    <w:rsid w:val="319B64A7"/>
    <w:rsid w:val="32B479E6"/>
    <w:rsid w:val="333552C8"/>
    <w:rsid w:val="3403AC08"/>
    <w:rsid w:val="3411C0C0"/>
    <w:rsid w:val="35848F2F"/>
    <w:rsid w:val="3593CF37"/>
    <w:rsid w:val="372E4AF6"/>
    <w:rsid w:val="3818FD6D"/>
    <w:rsid w:val="3844153F"/>
    <w:rsid w:val="38F6ADAE"/>
    <w:rsid w:val="39C4D49E"/>
    <w:rsid w:val="39C82698"/>
    <w:rsid w:val="39CC2564"/>
    <w:rsid w:val="39E84DD2"/>
    <w:rsid w:val="3A0082E7"/>
    <w:rsid w:val="3A0863D5"/>
    <w:rsid w:val="3A15BC67"/>
    <w:rsid w:val="3A41EF93"/>
    <w:rsid w:val="3AEFC535"/>
    <w:rsid w:val="3B0E5BE3"/>
    <w:rsid w:val="3B253311"/>
    <w:rsid w:val="3B7FDA2D"/>
    <w:rsid w:val="3BB21B9B"/>
    <w:rsid w:val="3CD49BD4"/>
    <w:rsid w:val="3CDBBBEF"/>
    <w:rsid w:val="3D437E94"/>
    <w:rsid w:val="3E90CBD4"/>
    <w:rsid w:val="3F9184AE"/>
    <w:rsid w:val="4080EE2D"/>
    <w:rsid w:val="414E9148"/>
    <w:rsid w:val="417F7ABF"/>
    <w:rsid w:val="42056D6E"/>
    <w:rsid w:val="429B3D73"/>
    <w:rsid w:val="42C4880D"/>
    <w:rsid w:val="432E3EC7"/>
    <w:rsid w:val="4351C466"/>
    <w:rsid w:val="438BE56C"/>
    <w:rsid w:val="4596E999"/>
    <w:rsid w:val="46F4251E"/>
    <w:rsid w:val="481C7B0A"/>
    <w:rsid w:val="482F00F0"/>
    <w:rsid w:val="497008D1"/>
    <w:rsid w:val="4AA8A46A"/>
    <w:rsid w:val="4BF4AFC9"/>
    <w:rsid w:val="4C08D7E6"/>
    <w:rsid w:val="4C4AECEC"/>
    <w:rsid w:val="4D1729F5"/>
    <w:rsid w:val="4D1C5E9C"/>
    <w:rsid w:val="4D2C6194"/>
    <w:rsid w:val="4D4E33E6"/>
    <w:rsid w:val="4DA0B143"/>
    <w:rsid w:val="4DEBE821"/>
    <w:rsid w:val="4E640603"/>
    <w:rsid w:val="4F7A3FE1"/>
    <w:rsid w:val="5024EA93"/>
    <w:rsid w:val="50F5EC11"/>
    <w:rsid w:val="5104D0CE"/>
    <w:rsid w:val="521A6AFA"/>
    <w:rsid w:val="5222A3FF"/>
    <w:rsid w:val="529FBD19"/>
    <w:rsid w:val="52B7157A"/>
    <w:rsid w:val="53CC8481"/>
    <w:rsid w:val="5435C603"/>
    <w:rsid w:val="5438C7A6"/>
    <w:rsid w:val="54C9CA2D"/>
    <w:rsid w:val="5545664D"/>
    <w:rsid w:val="55642B84"/>
    <w:rsid w:val="56997FF6"/>
    <w:rsid w:val="56D32080"/>
    <w:rsid w:val="56E56105"/>
    <w:rsid w:val="570806C3"/>
    <w:rsid w:val="576805A7"/>
    <w:rsid w:val="586122CC"/>
    <w:rsid w:val="58683C51"/>
    <w:rsid w:val="5886D7BA"/>
    <w:rsid w:val="58A5486B"/>
    <w:rsid w:val="59AE2E8C"/>
    <w:rsid w:val="5AD7C938"/>
    <w:rsid w:val="5B1903BE"/>
    <w:rsid w:val="5B1C10B8"/>
    <w:rsid w:val="5C7E437B"/>
    <w:rsid w:val="5DCC8560"/>
    <w:rsid w:val="5F22CF73"/>
    <w:rsid w:val="5FDF4537"/>
    <w:rsid w:val="603AE684"/>
    <w:rsid w:val="607C1EC1"/>
    <w:rsid w:val="617D6256"/>
    <w:rsid w:val="62008524"/>
    <w:rsid w:val="62C4B6EA"/>
    <w:rsid w:val="62CE6E9B"/>
    <w:rsid w:val="6372B90B"/>
    <w:rsid w:val="64343390"/>
    <w:rsid w:val="6492332C"/>
    <w:rsid w:val="649BAC1B"/>
    <w:rsid w:val="64B15940"/>
    <w:rsid w:val="64C8EFF6"/>
    <w:rsid w:val="654904F1"/>
    <w:rsid w:val="65AB146D"/>
    <w:rsid w:val="6626D6AB"/>
    <w:rsid w:val="6654573D"/>
    <w:rsid w:val="673E0BBA"/>
    <w:rsid w:val="6765EBEB"/>
    <w:rsid w:val="67F1B7C2"/>
    <w:rsid w:val="68329088"/>
    <w:rsid w:val="683B98CD"/>
    <w:rsid w:val="69881F58"/>
    <w:rsid w:val="6A932417"/>
    <w:rsid w:val="6AD1513C"/>
    <w:rsid w:val="6B355175"/>
    <w:rsid w:val="6BB48B05"/>
    <w:rsid w:val="6C5AC6BB"/>
    <w:rsid w:val="6D94228E"/>
    <w:rsid w:val="6DB59EE0"/>
    <w:rsid w:val="6E8DEE0C"/>
    <w:rsid w:val="6EAC1F28"/>
    <w:rsid w:val="6EC8AB98"/>
    <w:rsid w:val="6F9573BC"/>
    <w:rsid w:val="6FD7BBB5"/>
    <w:rsid w:val="702BCAFB"/>
    <w:rsid w:val="710BAB3E"/>
    <w:rsid w:val="720DD7F4"/>
    <w:rsid w:val="73036D6C"/>
    <w:rsid w:val="73A24476"/>
    <w:rsid w:val="746BDFFC"/>
    <w:rsid w:val="749AC137"/>
    <w:rsid w:val="74D76BC1"/>
    <w:rsid w:val="74DFB48E"/>
    <w:rsid w:val="758E4F2D"/>
    <w:rsid w:val="75AABAAF"/>
    <w:rsid w:val="75BC6AAB"/>
    <w:rsid w:val="75CD1C57"/>
    <w:rsid w:val="75D04D0F"/>
    <w:rsid w:val="75DFB0FE"/>
    <w:rsid w:val="75FF3690"/>
    <w:rsid w:val="7624430B"/>
    <w:rsid w:val="7724560E"/>
    <w:rsid w:val="7742F75B"/>
    <w:rsid w:val="774687F2"/>
    <w:rsid w:val="77D80398"/>
    <w:rsid w:val="78AE45E6"/>
    <w:rsid w:val="7906D6E6"/>
    <w:rsid w:val="7A06681C"/>
    <w:rsid w:val="7AA6DD1A"/>
    <w:rsid w:val="7D557527"/>
    <w:rsid w:val="7DFE795E"/>
    <w:rsid w:val="7E0739E5"/>
    <w:rsid w:val="7E5A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AA34F"/>
  <w14:defaultImageDpi w14:val="300"/>
  <w15:docId w15:val="{2D6456BC-92FD-445D-B855-90C82D05E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497008D1"/>
    <w:rPr>
      <w:color w:val="0000FF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38A23EC8-CD62-45BE-978D-AF1E9AA41EEB}">
    <t:Anchor>
      <t:Comment id="729868464"/>
    </t:Anchor>
    <t:History>
      <t:Event id="{CF5D651C-9262-4043-A3A1-62BC82C71457}" time="2025-09-08T00:03:00.821Z">
        <t:Attribution userId="S::seb@purplespace.org::060d6427-09d1-4526-a873-64609080b841" userProvider="AD" userName="Sebastien Ducarme"/>
        <t:Anchor>
          <t:Comment id="767359033"/>
        </t:Anchor>
        <t:Create/>
      </t:Event>
      <t:Event id="{7C16CA5F-81D1-4C7E-A19E-0316367889AB}" time="2025-09-08T00:03:00.821Z">
        <t:Attribution userId="S::seb@purplespace.org::060d6427-09d1-4526-a873-64609080b841" userProvider="AD" userName="Sebastien Ducarme"/>
        <t:Anchor>
          <t:Comment id="767359033"/>
        </t:Anchor>
        <t:Assign userId="S::kirstie@purplespace.org::b060780e-b883-4ee2-9882-1d51574c249a" userProvider="AD" userName="Kirstie Wilson"/>
      </t:Event>
      <t:Event id="{8ED33333-C31F-4DE9-B9E0-4924909C6683}" time="2025-09-08T00:03:00.821Z">
        <t:Attribution userId="S::seb@purplespace.org::060d6427-09d1-4526-a873-64609080b841" userProvider="AD" userName="Sebastien Ducarme"/>
        <t:Anchor>
          <t:Comment id="767359033"/>
        </t:Anchor>
        <t:SetTitle title="@Kirstie Wilson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19/05/relationships/documenttasks" Target="tasks.xml" Id="R6e077c0fcb714074" /><Relationship Type="http://schemas.openxmlformats.org/officeDocument/2006/relationships/hyperlink" Target="https://www.purplespace.org/home?myhub&amp;selected=9005" TargetMode="External" Id="Rfce2b879157b4216" /><Relationship Type="http://schemas.microsoft.com/office/2020/10/relationships/intelligence" Target="intelligence2.xml" Id="Re12d6fdde3634c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1DB424A5314BBFF0176FF81146F6" ma:contentTypeVersion="23" ma:contentTypeDescription="Create a new document." ma:contentTypeScope="" ma:versionID="0d55568c5b08d02389353c2e7e31044b">
  <xsd:schema xmlns:xsd="http://www.w3.org/2001/XMLSchema" xmlns:xs="http://www.w3.org/2001/XMLSchema" xmlns:p="http://schemas.microsoft.com/office/2006/metadata/properties" xmlns:ns2="6181f0a9-ca81-4085-a8ba-b630f4a9140e" xmlns:ns3="9cb6344e-6686-4e95-8ca1-7df5b2dae618" targetNamespace="http://schemas.microsoft.com/office/2006/metadata/properties" ma:root="true" ma:fieldsID="4a1fb99c3c8c12f0b2252e9f148057a5" ns2:_="" ns3:_="">
    <xsd:import namespace="6181f0a9-ca81-4085-a8ba-b630f4a9140e"/>
    <xsd:import namespace="9cb6344e-6686-4e95-8ca1-7df5b2dae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f0a9-ca81-4085-a8ba-b630f4a9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1c514-9643-4444-af33-9f5728054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344e-6686-4e95-8ca1-7df5b2dae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a63c88-1d59-42aa-bb96-157602dd8ca4}" ma:internalName="TaxCatchAll" ma:showField="CatchAllData" ma:web="9cb6344e-6686-4e95-8ca1-7df5b2dae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81f0a9-ca81-4085-a8ba-b630f4a9140e">
      <Terms xmlns="http://schemas.microsoft.com/office/infopath/2007/PartnerControls"/>
    </lcf76f155ced4ddcb4097134ff3c332f>
    <TaxCatchAll xmlns="9cb6344e-6686-4e95-8ca1-7df5b2dae61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7BEDC-DA6E-4AB3-93A0-925127471759}"/>
</file>

<file path=customXml/itemProps3.xml><?xml version="1.0" encoding="utf-8"?>
<ds:datastoreItem xmlns:ds="http://schemas.openxmlformats.org/officeDocument/2006/customXml" ds:itemID="{69A7EB9A-B53E-465D-B894-00723B60E70B}"/>
</file>

<file path=customXml/itemProps4.xml><?xml version="1.0" encoding="utf-8"?>
<ds:datastoreItem xmlns:ds="http://schemas.openxmlformats.org/officeDocument/2006/customXml" ds:itemID="{E257A0C8-F1F2-42CB-9AE7-D0E8819B47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Sebastien Ducarme</lastModifiedBy>
  <revision>5</revision>
  <dcterms:created xsi:type="dcterms:W3CDTF">2025-09-04T03:54:00.0000000Z</dcterms:created>
  <dcterms:modified xsi:type="dcterms:W3CDTF">2025-09-09T21:58:13.0484507Z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0x010100E0E91DB424A5314BBFF0176FF81146F6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