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PurpleSpace</w:t>
      </w:r>
    </w:p>
    <w:p>
      <w:pPr>
        <w:spacing w:after="60"/>
      </w:pPr>
      <w:r>
        <w:rPr>
          <w:b/>
          <w:bCs/>
          <w:color w:val="222222"/>
          <w:sz w:val="32"/>
          <w:szCs w:val="32"/>
        </w:rPr>
        <w:t xml:space="preserve">#PositivelyPurple 2026 Support Pack</w:t>
      </w:r>
    </w:p>
    <w:p>
      <w:pPr>
        <w:spacing w:after="300"/>
      </w:pPr>
      <w:r>
        <w:rPr>
          <w:i/>
          <w:iCs/>
          <w:sz w:val="22"/>
          <w:szCs w:val="22"/>
        </w:rPr>
        <w:t xml:space="preserve">Sponsored by Bupa. In association with Tesco.</w:t>
      </w:r>
    </w:p>
    <w:p>
      <w:pPr>
        <w:pStyle w:val="Heading1"/>
      </w:pPr>
      <w:r>
        <w:t xml:space="preserve">A global movement (2026)</w:t>
      </w:r>
    </w:p>
    <w:p>
      <w:pPr>
        <w:spacing w:after="160"/>
      </w:pPr>
      <w:r>
        <w:t xml:space="preserve">In order to support disabled employees to build their inner confidence, we are on a mission to cascade a universal definition of inner confidence: a strong expectation of a positive outcome.</w:t>
      </w:r>
    </w:p>
    <w:p>
      <w:pPr>
        <w:spacing w:after="160"/>
      </w:pPr>
      <w:r>
        <w:t xml:space="preserve">#PositivelyPurple:</w:t>
      </w:r>
    </w:p>
    <w:p>
      <w:pPr>
        <w:pStyle w:val="ListParagraph"/>
        <w:numPr>
          <w:ilvl w:val="0"/>
          <w:numId w:val="2"/>
        </w:numPr>
        <w:spacing w:after="80"/>
      </w:pPr>
      <w:r>
        <w:rPr>
          <w:b/>
          <w:bCs/>
        </w:rPr>
        <w:t xml:space="preserve">Celebrates </w:t>
      </w:r>
      <w:r>
        <w:t xml:space="preserve">and draws attention to the contribution of employees with disabilities around the world.</w:t>
      </w:r>
    </w:p>
    <w:p>
      <w:pPr>
        <w:pStyle w:val="ListParagraph"/>
        <w:numPr>
          <w:ilvl w:val="0"/>
          <w:numId w:val="2"/>
        </w:numPr>
        <w:spacing w:after="80"/>
      </w:pPr>
      <w:r>
        <w:rPr>
          <w:b/>
          <w:bCs/>
        </w:rPr>
        <w:t xml:space="preserve">Connects </w:t>
      </w:r>
      <w:r>
        <w:t xml:space="preserve">disability ERGs and networks around the world – building disability confidence from the inside out and driving a movement for change.</w:t>
      </w:r>
    </w:p>
    <w:p>
      <w:pPr>
        <w:pStyle w:val="ListParagraph"/>
        <w:numPr>
          <w:ilvl w:val="0"/>
          <w:numId w:val="2"/>
        </w:numPr>
        <w:spacing w:after="80"/>
      </w:pPr>
      <w:r>
        <w:rPr>
          <w:b/>
          <w:bCs/>
        </w:rPr>
        <w:t xml:space="preserve">Is our mark of respect </w:t>
      </w:r>
      <w:r>
        <w:t xml:space="preserve">to the UN International Day for Persons with Disabilities (IDPwD), held annually on 3 December.</w:t>
      </w:r>
    </w:p>
    <w:p>
      <w:pPr>
        <w:pStyle w:val="Heading1"/>
      </w:pPr>
      <w:r>
        <w:t xml:space="preserve">2025 campaign impact</w:t>
      </w:r>
    </w:p>
    <w:p>
      <w:pPr>
        <w:pStyle w:val="ListParagraph"/>
        <w:numPr>
          <w:ilvl w:val="0"/>
          <w:numId w:val="2"/>
        </w:numPr>
        <w:spacing w:after="80"/>
      </w:pPr>
      <w:r>
        <w:t xml:space="preserve">Global launch events in Sydney, Bangalore, London, Washington DC and Toronto.</w:t>
      </w:r>
    </w:p>
    <w:p>
      <w:pPr>
        <w:pStyle w:val="ListParagraph"/>
        <w:numPr>
          <w:ilvl w:val="0"/>
          <w:numId w:val="2"/>
        </w:numPr>
        <w:spacing w:after="80"/>
      </w:pPr>
      <w:r>
        <w:t xml:space="preserve">Online Building Inner Confidence course completed by </w:t>
      </w:r>
      <w:r>
        <w:rPr>
          <w:b/>
          <w:bCs/>
        </w:rPr>
        <w:t xml:space="preserve">over 10,000 disabled employees</w:t>
      </w:r>
      <w:r>
        <w:t xml:space="preserve"> in its first three months.</w:t>
      </w:r>
    </w:p>
    <w:p>
      <w:pPr>
        <w:pStyle w:val="ListParagraph"/>
        <w:numPr>
          <w:ilvl w:val="0"/>
          <w:numId w:val="2"/>
        </w:numPr>
        <w:spacing w:after="80"/>
      </w:pPr>
      <w:r>
        <w:t xml:space="preserve">Users accessed Inner Confidence content in </w:t>
      </w:r>
      <w:r>
        <w:rPr>
          <w:b/>
          <w:bCs/>
        </w:rPr>
        <w:t xml:space="preserve">over 62 countries</w:t>
      </w:r>
      <w:r>
        <w:t xml:space="preserve">.</w:t>
      </w:r>
    </w:p>
    <w:p>
      <w:pPr>
        <w:pStyle w:val="ListParagraph"/>
        <w:numPr>
          <w:ilvl w:val="0"/>
          <w:numId w:val="2"/>
        </w:numPr>
        <w:spacing w:after="80"/>
      </w:pPr>
      <w:r>
        <w:rPr>
          <w:b/>
          <w:bCs/>
        </w:rPr>
        <w:t xml:space="preserve">75% of surveyed users</w:t>
      </w:r>
      <w:r>
        <w:t xml:space="preserve"> now feel confident enough to ask for an adjustment.</w:t>
      </w:r>
    </w:p>
    <w:p>
      <w:pPr>
        <w:pStyle w:val="ListParagraph"/>
        <w:numPr>
          <w:ilvl w:val="0"/>
          <w:numId w:val="2"/>
        </w:numPr>
        <w:spacing w:after="80"/>
      </w:pPr>
      <w:r>
        <w:t xml:space="preserve">Social media campaign reach of over </w:t>
      </w:r>
      <w:r>
        <w:rPr>
          <w:b/>
          <w:bCs/>
        </w:rPr>
        <w:t xml:space="preserve">1.8 million people</w:t>
      </w:r>
      <w:r>
        <w:t xml:space="preserve"> around the world.</w:t>
      </w:r>
    </w:p>
    <w:p>
      <w:pPr>
        <w:pStyle w:val="ListParagraph"/>
        <w:numPr>
          <w:ilvl w:val="0"/>
          <w:numId w:val="2"/>
        </w:numPr>
        <w:spacing w:after="80"/>
      </w:pPr>
      <w:r>
        <w:t xml:space="preserve">'The Colour of Confidence' by The Blind Poet, written about the #PositivelyPurple movement, featured on Channel 4.</w:t>
      </w:r>
    </w:p>
    <w:p>
      <w:pPr>
        <w:pStyle w:val="Heading1"/>
      </w:pPr>
      <w:r>
        <w:t xml:space="preserve">#PositivelyPurple 2026</w:t>
      </w:r>
    </w:p>
    <w:p>
      <w:pPr>
        <w:spacing w:after="160"/>
      </w:pPr>
      <w:r>
        <w:t xml:space="preserve">Celebrating the contribution of disabled employees around the world. Building the confidence of every disabled person by creating:</w:t>
      </w:r>
    </w:p>
    <w:p>
      <w:pPr>
        <w:pStyle w:val="Heading2"/>
      </w:pPr>
      <w:r>
        <w:t xml:space="preserve">#PositivelyPurple planning sessions</w:t>
      </w:r>
    </w:p>
    <w:p>
      <w:pPr>
        <w:spacing w:after="160"/>
      </w:pPr>
      <w:r>
        <w:t xml:space="preserve">PurpleSpace members will have an opportunity to book a 1:1 planning session with the #PositivelyPurple team. Sponsorship from Bupa and Tesco will enable us to meet with members to create an impactful campaign, building in metrics to measure the reach and impact of your activities. Sessions take place in August and September 2026.</w:t>
      </w:r>
    </w:p>
    <w:p>
      <w:pPr>
        <w:pStyle w:val="Heading2"/>
      </w:pPr>
      <w:r>
        <w:t xml:space="preserve">#PositivelyPurple Impact Report</w:t>
      </w:r>
    </w:p>
    <w:p>
      <w:pPr>
        <w:spacing w:after="160"/>
      </w:pPr>
      <w:r>
        <w:t xml:space="preserve">Members will be able to access an Impact Report template, designed to evidence the impact of participating in the #PositivelyPurple campaign. The template will be available on 3 December 2026.</w:t>
      </w:r>
    </w:p>
    <w:p>
      <w:pPr>
        <w:pStyle w:val="Heading2"/>
      </w:pPr>
      <w:r>
        <w:t xml:space="preserve">Building Inner Confidence Pathway</w:t>
      </w:r>
    </w:p>
    <w:p>
      <w:pPr>
        <w:spacing w:after="160"/>
      </w:pPr>
      <w:r>
        <w:t xml:space="preserve">Created using our Six Fundamentals and Six Hurdles of Confident Conversations, developed with thousands of disabled employees over the last ten years, our Confidence Learning Pathway tool creates a personalised learning pathway to enable disabled employees to develop the skills to thrive at work. Available on 5 November.</w:t>
      </w:r>
    </w:p>
    <w:p>
      <w:pPr>
        <w:pStyle w:val="Heading2"/>
      </w:pPr>
      <w:r>
        <w:t xml:space="preserve">#PositivelyPurple Social Campaign</w:t>
      </w:r>
    </w:p>
    <w:p>
      <w:pPr>
        <w:spacing w:after="160"/>
      </w:pPr>
      <w:r>
        <w:t xml:space="preserve">The Building Inner Confidence Pathway goes live on 5 November as a four-week countdown to #IDPwD. Users are encouraged to participate in a social campaign to extend the reach of the tool. We will provide social cards and suggested post content and hashtags to increase social engagement.</w:t>
      </w:r>
    </w:p>
    <w:p>
      <w:pPr>
        <w:pStyle w:val="Heading1"/>
      </w:pPr>
      <w:r>
        <w:t xml:space="preserve">Cascade Building Inner Confidence Pathways</w:t>
      </w:r>
    </w:p>
    <w:p>
      <w:pPr>
        <w:spacing w:after="160"/>
      </w:pPr>
      <w:r>
        <w:t xml:space="preserve">To enable every disabled employee around the world to build inner confidence, we will launch our new learning pathway tool, based on the fundamentals and hurdles of building inner confidence.</w:t>
      </w:r>
    </w:p>
    <w:p>
      <w:pPr>
        <w:spacing w:after="160"/>
      </w:pPr>
      <w:r>
        <w:t xml:space="preserve">Building Inner Confidence Pathways will be free and available to any employee within a PurpleSpace member organisation via a single link – no registration or sign-in required.</w:t>
      </w:r>
    </w:p>
    <w:p>
      <w:pPr>
        <w:spacing w:after="160"/>
      </w:pPr>
      <w:r>
        <w:t xml:space="preserve">This new tool generates an individualised learning and reflection pathway to:</w:t>
      </w:r>
    </w:p>
    <w:p>
      <w:pPr>
        <w:pStyle w:val="ListParagraph"/>
        <w:numPr>
          <w:ilvl w:val="0"/>
          <w:numId w:val="2"/>
        </w:numPr>
        <w:spacing w:after="80"/>
      </w:pPr>
      <w:r>
        <w:rPr>
          <w:b/>
          <w:bCs/>
        </w:rPr>
        <w:t xml:space="preserve">Build the confidence </w:t>
      </w:r>
      <w:r>
        <w:t xml:space="preserve">disabled employees need to request the workplace adjustments and accommodations they need to thrive.</w:t>
      </w:r>
    </w:p>
    <w:p>
      <w:pPr>
        <w:pStyle w:val="ListParagraph"/>
        <w:numPr>
          <w:ilvl w:val="0"/>
          <w:numId w:val="2"/>
        </w:numPr>
        <w:spacing w:after="80"/>
      </w:pPr>
      <w:r>
        <w:t xml:space="preserve">Help to cascade </w:t>
      </w:r>
      <w:r>
        <w:rPr>
          <w:b/>
          <w:bCs/>
        </w:rPr>
        <w:t xml:space="preserve">a universal definition of inner confidence</w:t>
      </w:r>
      <w:r>
        <w:t xml:space="preserve"> as a strong expectation of a positive outcome.</w:t>
      </w:r>
    </w:p>
    <w:p>
      <w:pPr>
        <w:spacing w:after="160"/>
      </w:pPr>
      <w:r>
        <w:t xml:space="preserve">We invite our community to amplify the reach and impact of the content, by cascading it with employees and linking to the tool via your own platforms.</w:t>
      </w:r>
    </w:p>
    <w:p>
      <w:pPr>
        <w:pStyle w:val="Heading1"/>
      </w:pPr>
      <w:r>
        <w:t xml:space="preserve">Create an Impact Report using our template</w:t>
      </w:r>
    </w:p>
    <w:p>
      <w:pPr>
        <w:spacing w:after="160"/>
      </w:pPr>
      <w:r>
        <w:t xml:space="preserve">Delivering an impactful #PositivelyPurple campaign starts with planning and specifically considering your ERG/network's purpose and desired impact.</w:t>
      </w:r>
    </w:p>
    <w:p>
      <w:pPr>
        <w:spacing w:after="160"/>
      </w:pPr>
      <w:r>
        <w:t xml:space="preserve">Participating in #PositivelyPurple can impact your organisation as well as your ERG/network in many ways. For example, you may see growth in the number of employees sharing that they have a disability or long-term condition. You may see growth in ERG/network membership or increased investment in your ERG/network from the organisation.</w:t>
      </w:r>
    </w:p>
    <w:p>
      <w:pPr>
        <w:spacing w:after="160"/>
      </w:pPr>
      <w:r>
        <w:t xml:space="preserve">The impact report is dual purpose: firstly, for organisations to share with PurpleSpace so we can ascertain the global impact of the movement; and secondly, for you to demonstrate the impact for your ERG/network, within your organisation, within society and for disabled employees around the world.</w:t>
      </w:r>
    </w:p>
    <w:p>
      <w:pPr>
        <w:spacing w:after="160"/>
      </w:pPr>
      <w:r>
        <w:t xml:space="preserve">Ahead of our template being published on 3 December, think about:</w:t>
      </w:r>
    </w:p>
    <w:p>
      <w:pPr>
        <w:pStyle w:val="ListParagraph"/>
        <w:numPr>
          <w:ilvl w:val="0"/>
          <w:numId w:val="2"/>
        </w:numPr>
        <w:spacing w:after="80"/>
      </w:pPr>
      <w:r>
        <w:t xml:space="preserve">What do you want to achieve by participating in #PositivelyPurple?</w:t>
      </w:r>
    </w:p>
    <w:p>
      <w:pPr>
        <w:pStyle w:val="ListParagraph"/>
        <w:numPr>
          <w:ilvl w:val="0"/>
          <w:numId w:val="2"/>
        </w:numPr>
        <w:spacing w:after="80"/>
      </w:pPr>
      <w:r>
        <w:t xml:space="preserve">How can you set clear, measurable objectives to include in your Impact Report?</w:t>
      </w:r>
    </w:p>
    <w:p>
      <w:pPr>
        <w:pStyle w:val="ListParagraph"/>
        <w:numPr>
          <w:ilvl w:val="0"/>
          <w:numId w:val="2"/>
        </w:numPr>
        <w:spacing w:after="80"/>
      </w:pPr>
      <w:r>
        <w:t xml:space="preserve">Who do you need to present your Impact Report to?</w:t>
      </w:r>
    </w:p>
    <w:p>
      <w:pPr>
        <w:spacing w:after="160"/>
      </w:pPr>
      <w:r>
        <w:t xml:space="preserve">Once you have created your Impact Report, consider how you can share your learnings further – you could create an Impact Case Study for other PurpleSpace members.</w:t>
      </w:r>
    </w:p>
    <w:p>
      <w:pPr>
        <w:pStyle w:val="Heading1"/>
      </w:pPr>
      <w:r>
        <w:t xml:space="preserve">Participate in our social media campaign</w:t>
      </w:r>
    </w:p>
    <w:p>
      <w:pPr>
        <w:spacing w:after="160"/>
      </w:pPr>
      <w:r>
        <w:t xml:space="preserve">We're calling on everyone to participate in an action-orientated social media movement that will celebrate employees with disabilities around the world.</w:t>
      </w:r>
    </w:p>
    <w:p>
      <w:pPr>
        <w:spacing w:after="160"/>
      </w:pPr>
      <w:r>
        <w:t xml:space="preserve">To create the greatest impact and social reach, we invite your ERG/network members, leaders and champions to hold an individual action to flood the social media airwaves on 3 December 2026.</w:t>
      </w:r>
    </w:p>
    <w:p>
      <w:pPr>
        <w:spacing w:after="160"/>
      </w:pPr>
      <w:r>
        <w:t xml:space="preserve">Individuals are encouraged to:</w:t>
      </w:r>
    </w:p>
    <w:p>
      <w:pPr>
        <w:pStyle w:val="ListParagraph"/>
        <w:numPr>
          <w:ilvl w:val="0"/>
          <w:numId w:val="2"/>
        </w:numPr>
        <w:spacing w:after="80"/>
      </w:pPr>
      <w:r>
        <w:rPr>
          <w:b/>
          <w:bCs/>
        </w:rPr>
        <w:t xml:space="preserve">Share Building Inner Confidence Pathways </w:t>
      </w:r>
      <w:r>
        <w:t xml:space="preserve">with your ERG/network members.</w:t>
      </w:r>
    </w:p>
    <w:p>
      <w:pPr>
        <w:pStyle w:val="ListParagraph"/>
        <w:numPr>
          <w:ilvl w:val="0"/>
          <w:numId w:val="2"/>
        </w:numPr>
        <w:spacing w:after="80"/>
      </w:pPr>
      <w:r>
        <w:t xml:space="preserve">Talk about what you wish they had known earlier in their career.</w:t>
      </w:r>
    </w:p>
    <w:p>
      <w:pPr>
        <w:pStyle w:val="ListParagraph"/>
        <w:numPr>
          <w:ilvl w:val="0"/>
          <w:numId w:val="2"/>
        </w:numPr>
        <w:spacing w:after="80"/>
      </w:pPr>
      <w:r>
        <w:t xml:space="preserve">Tell people what you are going to do differently as a result of completing the learning.</w:t>
      </w:r>
    </w:p>
    <w:p>
      <w:pPr>
        <w:spacing w:after="160"/>
      </w:pPr>
      <w:r>
        <w:t xml:space="preserve">If you are interested in supporting us to amplify the campaign through your channels, please contact </w:t>
      </w:r>
      <w:hyperlink w:history="1" r:id="rId6rsk7fqv9vgeo17cyftai">
        <w:r>
          <w:rPr>
            <w:rStyle w:val="Hyperlink"/>
          </w:rPr>
          <w:t xml:space="preserve">kirstie@purplespace.org</w:t>
        </w:r>
      </w:hyperlink>
      <w:r>
        <w:t xml:space="preserve">.</w:t>
      </w:r>
    </w:p>
    <w:p>
      <w:pPr>
        <w:pStyle w:val="Heading1"/>
      </w:pPr>
      <w:r>
        <w:t xml:space="preserve">Engaging with your colleagues</w:t>
      </w:r>
    </w:p>
    <w:p>
      <w:pPr>
        <w:spacing w:after="160"/>
      </w:pPr>
      <w:r>
        <w:t xml:space="preserve">#PositivelyPurple provides an extraordinary opportunity to engage your employees and promote your ERG/network. Here are some examples of how you could engage with the wider organisation:</w:t>
      </w:r>
    </w:p>
    <w:p>
      <w:pPr>
        <w:pStyle w:val="ListParagraph"/>
        <w:numPr>
          <w:ilvl w:val="0"/>
          <w:numId w:val="2"/>
        </w:numPr>
        <w:spacing w:after="80"/>
      </w:pPr>
      <w:r>
        <w:rPr>
          <w:b/>
          <w:bCs/>
        </w:rPr>
        <w:t xml:space="preserve">Run a series of events </w:t>
      </w:r>
      <w:r>
        <w:t xml:space="preserve">over a week or a month, focusing on a specific condition or theme per session (e.g. energy-limiting conditions, neurodivergence, caring for others).</w:t>
      </w:r>
    </w:p>
    <w:p>
      <w:pPr>
        <w:pStyle w:val="ListParagraph"/>
        <w:numPr>
          <w:ilvl w:val="0"/>
          <w:numId w:val="2"/>
        </w:numPr>
        <w:spacing w:after="80"/>
      </w:pPr>
      <w:r>
        <w:rPr>
          <w:b/>
          <w:bCs/>
        </w:rPr>
        <w:t xml:space="preserve">Virtual Purple Bake Off </w:t>
      </w:r>
      <w:r>
        <w:t xml:space="preserve">– an organisation-wide competition for the most striking purple baked goods.</w:t>
      </w:r>
    </w:p>
    <w:p>
      <w:pPr>
        <w:pStyle w:val="ListParagraph"/>
        <w:numPr>
          <w:ilvl w:val="0"/>
          <w:numId w:val="2"/>
        </w:numPr>
        <w:spacing w:after="80"/>
      </w:pPr>
      <w:r>
        <w:rPr>
          <w:b/>
          <w:bCs/>
        </w:rPr>
        <w:t xml:space="preserve">Use #PositivelyPurple backgrounds </w:t>
      </w:r>
      <w:r>
        <w:t xml:space="preserve">with a QR code linking to your intranet page.</w:t>
      </w:r>
    </w:p>
    <w:p>
      <w:pPr>
        <w:pStyle w:val="ListParagraph"/>
        <w:numPr>
          <w:ilvl w:val="0"/>
          <w:numId w:val="2"/>
        </w:numPr>
        <w:spacing w:after="80"/>
      </w:pPr>
      <w:r>
        <w:rPr>
          <w:b/>
          <w:bCs/>
        </w:rPr>
        <w:t xml:space="preserve">Start a purple-themed virtual coffee break </w:t>
      </w:r>
      <w:r>
        <w:t xml:space="preserve">where employees can discuss their own journey.</w:t>
      </w:r>
    </w:p>
    <w:p>
      <w:pPr>
        <w:pStyle w:val="ListParagraph"/>
        <w:numPr>
          <w:ilvl w:val="0"/>
          <w:numId w:val="2"/>
        </w:numPr>
        <w:spacing w:after="80"/>
      </w:pPr>
      <w:r>
        <w:rPr>
          <w:b/>
          <w:bCs/>
        </w:rPr>
        <w:t xml:space="preserve">Host a short webinar or virtual 'lunch and learn' </w:t>
      </w:r>
      <w:r>
        <w:t xml:space="preserve">session inviting disabled employees to share their lived experience.</w:t>
      </w:r>
    </w:p>
    <w:p>
      <w:pPr>
        <w:spacing w:after="160"/>
      </w:pPr>
      <w:r>
        <w:t xml:space="preserve">With all of these suggestions, you can follow up with a link to our Purple Pathways Tool, alongside information on the internal support, adjustments and toolkits on offer from the ERG/network and the organisation. Access our </w:t>
      </w:r>
      <w:r>
        <w:rPr>
          <w:i/>
          <w:iCs/>
        </w:rPr>
        <w:t xml:space="preserve">'Out of Office' case study series</w:t>
      </w:r>
      <w:r>
        <w:t xml:space="preserve"> for more ideas on how other organisations increase the reach and impact of their disability ERG/network.</w:t>
      </w:r>
    </w:p>
    <w:p>
      <w:pPr>
        <w:pStyle w:val="Heading1"/>
      </w:pPr>
      <w:r>
        <w:t xml:space="preserve">Branding and templates</w:t>
      </w:r>
    </w:p>
    <w:p>
      <w:pPr>
        <w:pStyle w:val="Heading2"/>
      </w:pPr>
      <w:r>
        <w:t xml:space="preserve">#PositivelyPurple social cards</w:t>
      </w:r>
    </w:p>
    <w:p>
      <w:pPr>
        <w:spacing w:after="160"/>
      </w:pPr>
      <w:r>
        <w:t xml:space="preserve">On 3 December, you are invited to share one or more of these templates with your own custom quote and optional image.</w:t>
      </w:r>
    </w:p>
    <w:p>
      <w:pPr>
        <w:spacing w:after="160"/>
      </w:pPr>
      <w:r>
        <w:t xml:space="preserve">The three templates are </w:t>
      </w:r>
      <w:hyperlink w:history="1" r:id="rIdmw-alnfexjsbqlpv07sh3">
        <w:r>
          <w:rPr>
            <w:rStyle w:val="Hyperlink"/>
          </w:rPr>
          <w:t xml:space="preserve">available via Canva</w:t>
        </w:r>
      </w:hyperlink>
      <w:r>
        <w:t xml:space="preserve">. If you have any issues accessing the templates, please email </w:t>
      </w:r>
      <w:hyperlink w:history="1" r:id="rId-jdur6ibyrbphhv4n42lm">
        <w:r>
          <w:rPr>
            <w:rStyle w:val="Hyperlink"/>
          </w:rPr>
          <w:t xml:space="preserve">kirstie@purplespace.org</w:t>
        </w:r>
      </w:hyperlink>
      <w:r>
        <w:t xml:space="preserve">.</w:t>
      </w:r>
    </w:p>
    <w:p>
      <w:pPr>
        <w:spacing w:after="160"/>
      </w:pPr>
      <w:r>
        <w:t xml:space="preserve">How to use the templates:</w:t>
      </w:r>
    </w:p>
    <w:p>
      <w:pPr>
        <w:pStyle w:val="ListParagraph"/>
        <w:numPr>
          <w:ilvl w:val="0"/>
          <w:numId w:val="2"/>
        </w:numPr>
        <w:spacing w:after="80"/>
      </w:pPr>
      <w:r>
        <w:t xml:space="preserve">Choose a template from Canva.</w:t>
      </w:r>
    </w:p>
    <w:p>
      <w:pPr>
        <w:pStyle w:val="ListParagraph"/>
        <w:numPr>
          <w:ilvl w:val="0"/>
          <w:numId w:val="2"/>
        </w:numPr>
        <w:spacing w:after="80"/>
      </w:pPr>
      <w:r>
        <w:t xml:space="preserve">Add your own quote and upload your photo.</w:t>
      </w:r>
    </w:p>
    <w:p>
      <w:pPr>
        <w:pStyle w:val="ListParagraph"/>
        <w:numPr>
          <w:ilvl w:val="0"/>
          <w:numId w:val="2"/>
        </w:numPr>
        <w:spacing w:after="80"/>
      </w:pPr>
      <w:r>
        <w:t xml:space="preserve">Save it to your device and create a post on your preferred social media platform.</w:t>
      </w:r>
    </w:p>
    <w:p>
      <w:pPr>
        <w:pStyle w:val="Heading2"/>
      </w:pPr>
      <w:r>
        <w:t xml:space="preserve">#PositivelyPurple social post copy</w:t>
      </w:r>
    </w:p>
    <w:p>
      <w:pPr>
        <w:spacing w:after="160"/>
      </w:pPr>
      <w:r>
        <w:t xml:space="preserve">We have created some suggested copy below, which you are encouraged to use:</w:t>
      </w:r>
    </w:p>
    <w:p>
      <w:pPr>
        <w:pBdr>
          <w:left w:val="single" w:color="81366D" w:sz="24" w:space="8"/>
        </w:pBdr>
        <w:shd w:fill="F3E9F1" w:val="clear"/>
        <w:spacing w:after="60"/>
        <w:ind w:left="200"/>
      </w:pPr>
      <w:r>
        <w:rPr>
          <w:b/>
          <w:bCs/>
        </w:rPr>
        <w:t xml:space="preserve">I am #PositivelyPurple</w:t>
      </w:r>
    </w:p>
    <w:p>
      <w:pPr>
        <w:pBdr>
          <w:left w:val="single" w:color="81366D" w:sz="24" w:space="8"/>
        </w:pBdr>
        <w:shd w:fill="F3E9F1" w:val="clear"/>
        <w:spacing w:after="60"/>
        <w:ind w:left="200"/>
      </w:pPr>
      <w:r>
        <w:t xml:space="preserve">Every 3 December, thousands of us mark the UN International Day for Persons with Disabilities by celebrating the contribution of disabled employees around the world.</w:t>
      </w:r>
    </w:p>
    <w:p>
      <w:pPr>
        <w:pBdr>
          <w:left w:val="single" w:color="81366D" w:sz="24" w:space="8"/>
        </w:pBdr>
        <w:shd w:fill="F3E9F1" w:val="clear"/>
        <w:spacing w:after="60"/>
        <w:ind w:left="200"/>
      </w:pPr>
      <w:r>
        <w:t xml:space="preserve">This is a celebration of the people showing up, leading networks, and building workplaces where colleagues with disability, neurodivergence, mental health conditions, and long-term health conditions can bring their full selves to work.</w:t>
      </w:r>
    </w:p>
    <w:p>
      <w:pPr>
        <w:pBdr>
          <w:left w:val="single" w:color="81366D" w:sz="24" w:space="8"/>
        </w:pBdr>
        <w:shd w:fill="F3E9F1" w:val="clear"/>
        <w:spacing w:after="60"/>
        <w:ind w:left="200"/>
      </w:pPr>
      <w:r>
        <w:t xml:space="preserve">So here's mine 👆 (see the attached – include alt text)</w:t>
      </w:r>
    </w:p>
    <w:p>
      <w:pPr>
        <w:pBdr>
          <w:left w:val="single" w:color="81366D" w:sz="24" w:space="8"/>
        </w:pBdr>
        <w:shd w:fill="F3E9F1" w:val="clear"/>
        <w:spacing w:after="200"/>
        <w:ind w:left="200"/>
      </w:pPr>
      <w:r>
        <w:t xml:space="preserve">Your turn: what would you add? Tag someone whose confidence journey deserves a shoutout today. #PositivelyPurple</w:t>
      </w:r>
    </w:p>
    <w:p>
      <w:pPr>
        <w:spacing w:after="160"/>
      </w:pPr>
      <w:r>
        <w:t xml:space="preserve">Please tag PurpleSpace and use the following hashtags so that together we create a movement:</w:t>
      </w:r>
    </w:p>
    <w:p>
      <w:pPr>
        <w:spacing w:after="200"/>
      </w:pPr>
      <w:r>
        <w:rPr>
          <w:b/>
          <w:bCs/>
        </w:rPr>
        <w:t xml:space="preserve">#PositivelyPurple  #InnerConfidence  #PurplePathways</w:t>
      </w:r>
    </w:p>
    <w:p>
      <w:pPr>
        <w:pStyle w:val="Heading2"/>
      </w:pPr>
      <w:r>
        <w:t xml:space="preserve">#PositivelyPurple graphic elements</w:t>
      </w:r>
    </w:p>
    <w:p>
      <w:pPr>
        <w:spacing w:after="160"/>
      </w:pPr>
      <w:r>
        <w:t xml:space="preserve">Interconnecting triangles represent the PurpleSpace global strategy to build the confidence of disabled employees around the world.</w:t>
      </w:r>
    </w:p>
    <w:p>
      <w:pPr>
        <w:spacing w:after="160"/>
      </w:pPr>
      <w:r>
        <w:t xml:space="preserve">All #PositivelyPurple branding assets are available to download via the </w:t>
      </w:r>
      <w:hyperlink w:history="1" r:id="rIdgydleco86tse4rtkbwfgi">
        <w:r>
          <w:rPr>
            <w:rStyle w:val="Hyperlink"/>
          </w:rPr>
          <w:t xml:space="preserve">PurpleSpace SharePoint</w:t>
        </w:r>
      </w:hyperlink>
      <w:r>
        <w:t xml:space="preserve">. If you have any issues accessing these, please email </w:t>
      </w:r>
      <w:hyperlink w:history="1" r:id="rIdftxg3vc_pdddhlcwo424d">
        <w:r>
          <w:rPr>
            <w:rStyle w:val="Hyperlink"/>
          </w:rPr>
          <w:t xml:space="preserve">kirstie@purplespace.org</w:t>
        </w:r>
      </w:hyperlink>
      <w:r>
        <w:t xml:space="preserve">.</w:t>
      </w:r>
    </w:p>
    <w:p>
      <w:pPr>
        <w:pStyle w:val="Heading2"/>
      </w:pPr>
      <w:r>
        <w:t xml:space="preserve">#PositivelyPurple brand colours</w:t>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3000"/>
      </w:tblGrid>
      <w:tr>
        <w:trPr>
          <w:tblHeader/>
        </w:trPr>
        <w:tc>
          <w:tcPr>
            <w:tcW w:type="dxa" w:w="2000"/>
            <w:shd w:fill="EDEDED" w:val="clear"/>
            <w:tcMar>
              <w:top w:type="dxa" w:w="100"/>
              <w:left w:type="dxa" w:w="100"/>
              <w:bottom w:type="dxa" w:w="100"/>
              <w:right w:type="dxa" w:w="100"/>
            </w:tcMar>
          </w:tcPr>
          <w:p>
            <w:r>
              <w:rPr>
                <w:b/>
                <w:bCs/>
              </w:rPr>
              <w:t xml:space="preserve">Swatch</w:t>
            </w:r>
          </w:p>
        </w:tc>
        <w:tc>
          <w:tcPr>
            <w:tcW w:type="dxa" w:w="3000"/>
            <w:shd w:fill="EDEDED" w:val="clear"/>
            <w:tcMar>
              <w:top w:type="dxa" w:w="100"/>
              <w:left w:type="dxa" w:w="100"/>
              <w:bottom w:type="dxa" w:w="100"/>
              <w:right w:type="dxa" w:w="100"/>
            </w:tcMar>
          </w:tcPr>
          <w:p>
            <w:r>
              <w:rPr>
                <w:b/>
                <w:bCs/>
              </w:rPr>
              <w:t xml:space="preserve">Name</w:t>
            </w:r>
          </w:p>
        </w:tc>
        <w:tc>
          <w:tcPr>
            <w:tcW w:type="dxa" w:w="3000"/>
            <w:shd w:fill="EDEDED" w:val="clear"/>
            <w:tcMar>
              <w:top w:type="dxa" w:w="100"/>
              <w:left w:type="dxa" w:w="100"/>
              <w:bottom w:type="dxa" w:w="100"/>
              <w:right w:type="dxa" w:w="100"/>
            </w:tcMar>
          </w:tcPr>
          <w:p>
            <w:r>
              <w:rPr>
                <w:b/>
                <w:bCs/>
              </w:rPr>
              <w:t xml:space="preserve">Hex code</w:t>
            </w:r>
          </w:p>
        </w:tc>
      </w:tr>
      <w:tr>
        <w:tc>
          <w:tcPr>
            <w:tcW w:type="dxa" w:w="2000"/>
            <w:shd w:fill="81366D"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Core Purple</w:t>
            </w:r>
          </w:p>
        </w:tc>
        <w:tc>
          <w:tcPr>
            <w:tcW w:type="dxa" w:w="3000"/>
            <w:tcMar>
              <w:top w:type="dxa" w:w="100"/>
              <w:left w:type="dxa" w:w="100"/>
              <w:bottom w:type="dxa" w:w="100"/>
              <w:right w:type="dxa" w:w="100"/>
            </w:tcMar>
          </w:tcPr>
          <w:p>
            <w:r>
              <w:t xml:space="preserve">81366D</w:t>
            </w:r>
          </w:p>
        </w:tc>
      </w:tr>
      <w:tr>
        <w:tc>
          <w:tcPr>
            <w:tcW w:type="dxa" w:w="2000"/>
            <w:shd w:fill="FFFFFF"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Core White</w:t>
            </w:r>
          </w:p>
        </w:tc>
        <w:tc>
          <w:tcPr>
            <w:tcW w:type="dxa" w:w="3000"/>
            <w:tcMar>
              <w:top w:type="dxa" w:w="100"/>
              <w:left w:type="dxa" w:w="100"/>
              <w:bottom w:type="dxa" w:w="100"/>
              <w:right w:type="dxa" w:w="100"/>
            </w:tcMar>
          </w:tcPr>
          <w:p>
            <w:r>
              <w:t xml:space="preserve">FFFFFF (with black text/border for contrast)</w:t>
            </w:r>
          </w:p>
        </w:tc>
      </w:tr>
      <w:tr>
        <w:tc>
          <w:tcPr>
            <w:tcW w:type="dxa" w:w="2000"/>
            <w:shd w:fill="000000"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Core Black</w:t>
            </w:r>
          </w:p>
        </w:tc>
        <w:tc>
          <w:tcPr>
            <w:tcW w:type="dxa" w:w="3000"/>
            <w:tcMar>
              <w:top w:type="dxa" w:w="100"/>
              <w:left w:type="dxa" w:w="100"/>
              <w:bottom w:type="dxa" w:w="100"/>
              <w:right w:type="dxa" w:w="100"/>
            </w:tcMar>
          </w:tcPr>
          <w:p>
            <w:r>
              <w:t xml:space="preserve">000000</w:t>
            </w:r>
          </w:p>
        </w:tc>
      </w:tr>
      <w:tr>
        <w:tc>
          <w:tcPr>
            <w:tcW w:type="dxa" w:w="2000"/>
            <w:shd w:fill="A16892"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mid mauve</w:t>
            </w:r>
          </w:p>
        </w:tc>
        <w:tc>
          <w:tcPr>
            <w:tcW w:type="dxa" w:w="3000"/>
            <w:tcMar>
              <w:top w:type="dxa" w:w="100"/>
              <w:left w:type="dxa" w:w="100"/>
              <w:bottom w:type="dxa" w:w="100"/>
              <w:right w:type="dxa" w:w="100"/>
            </w:tcMar>
          </w:tcPr>
          <w:p>
            <w:r>
              <w:t xml:space="preserve">A16892</w:t>
            </w:r>
          </w:p>
        </w:tc>
      </w:tr>
      <w:tr>
        <w:tc>
          <w:tcPr>
            <w:tcW w:type="dxa" w:w="2000"/>
            <w:shd w:fill="C09AB6"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light mauve</w:t>
            </w:r>
          </w:p>
        </w:tc>
        <w:tc>
          <w:tcPr>
            <w:tcW w:type="dxa" w:w="3000"/>
            <w:tcMar>
              <w:top w:type="dxa" w:w="100"/>
              <w:left w:type="dxa" w:w="100"/>
              <w:bottom w:type="dxa" w:w="100"/>
              <w:right w:type="dxa" w:w="100"/>
            </w:tcMar>
          </w:tcPr>
          <w:p>
            <w:r>
              <w:t xml:space="preserve">C09AB6</w:t>
            </w:r>
          </w:p>
        </w:tc>
      </w:tr>
      <w:tr>
        <w:tc>
          <w:tcPr>
            <w:tcW w:type="dxa" w:w="2000"/>
            <w:shd w:fill="DFCDDA"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pale lilac</w:t>
            </w:r>
          </w:p>
        </w:tc>
        <w:tc>
          <w:tcPr>
            <w:tcW w:type="dxa" w:w="3000"/>
            <w:tcMar>
              <w:top w:type="dxa" w:w="100"/>
              <w:left w:type="dxa" w:w="100"/>
              <w:bottom w:type="dxa" w:w="100"/>
              <w:right w:type="dxa" w:w="100"/>
            </w:tcMar>
          </w:tcPr>
          <w:p>
            <w:r>
              <w:t xml:space="preserve">DFCDDA</w:t>
            </w:r>
          </w:p>
        </w:tc>
      </w:tr>
      <w:tr>
        <w:tc>
          <w:tcPr>
            <w:tcW w:type="dxa" w:w="2000"/>
            <w:shd w:fill="F6A7E0"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pink</w:t>
            </w:r>
          </w:p>
        </w:tc>
        <w:tc>
          <w:tcPr>
            <w:tcW w:type="dxa" w:w="3000"/>
            <w:tcMar>
              <w:top w:type="dxa" w:w="100"/>
              <w:left w:type="dxa" w:w="100"/>
              <w:bottom w:type="dxa" w:w="100"/>
              <w:right w:type="dxa" w:w="100"/>
            </w:tcMar>
          </w:tcPr>
          <w:p>
            <w:r>
              <w:t xml:space="preserve">F6A7E0</w:t>
            </w:r>
          </w:p>
        </w:tc>
      </w:tr>
      <w:tr>
        <w:tc>
          <w:tcPr>
            <w:tcW w:type="dxa" w:w="2000"/>
            <w:shd w:fill="BE3755"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red</w:t>
            </w:r>
          </w:p>
        </w:tc>
        <w:tc>
          <w:tcPr>
            <w:tcW w:type="dxa" w:w="3000"/>
            <w:tcMar>
              <w:top w:type="dxa" w:w="100"/>
              <w:left w:type="dxa" w:w="100"/>
              <w:bottom w:type="dxa" w:w="100"/>
              <w:right w:type="dxa" w:w="100"/>
            </w:tcMar>
          </w:tcPr>
          <w:p>
            <w:r>
              <w:t xml:space="preserve">BE3755</w:t>
            </w:r>
          </w:p>
        </w:tc>
      </w:tr>
      <w:tr>
        <w:tc>
          <w:tcPr>
            <w:tcW w:type="dxa" w:w="2000"/>
            <w:shd w:fill="BAB339"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olive</w:t>
            </w:r>
          </w:p>
        </w:tc>
        <w:tc>
          <w:tcPr>
            <w:tcW w:type="dxa" w:w="3000"/>
            <w:tcMar>
              <w:top w:type="dxa" w:w="100"/>
              <w:left w:type="dxa" w:w="100"/>
              <w:bottom w:type="dxa" w:w="100"/>
              <w:right w:type="dxa" w:w="100"/>
            </w:tcMar>
          </w:tcPr>
          <w:p>
            <w:r>
              <w:t xml:space="preserve">BAB339</w:t>
            </w:r>
          </w:p>
        </w:tc>
      </w:tr>
      <w:tr>
        <w:tc>
          <w:tcPr>
            <w:tcW w:type="dxa" w:w="2000"/>
            <w:shd w:fill="49D7AF" w:val="clear"/>
            <w:tcMar>
              <w:top w:type="dxa" w:w="100"/>
              <w:left w:type="dxa" w:w="100"/>
              <w:bottom w:type="dxa" w:w="100"/>
              <w:right w:type="dxa" w:w="100"/>
            </w:tcMar>
          </w:tcPr>
          <w:p>
            <w:r>
              <w:rPr>
                <w:sz w:val="2"/>
                <w:szCs w:val="2"/>
              </w:rPr>
              <w:t xml:space="preserve"> </w:t>
            </w:r>
          </w:p>
        </w:tc>
        <w:tc>
          <w:tcPr>
            <w:tcW w:type="dxa" w:w="3000"/>
            <w:tcMar>
              <w:top w:type="dxa" w:w="100"/>
              <w:left w:type="dxa" w:w="100"/>
              <w:bottom w:type="dxa" w:w="100"/>
              <w:right w:type="dxa" w:w="100"/>
            </w:tcMar>
          </w:tcPr>
          <w:p>
            <w:r>
              <w:t xml:space="preserve">Graphic – teal</w:t>
            </w:r>
          </w:p>
        </w:tc>
        <w:tc>
          <w:tcPr>
            <w:tcW w:type="dxa" w:w="3000"/>
            <w:tcMar>
              <w:top w:type="dxa" w:w="100"/>
              <w:left w:type="dxa" w:w="100"/>
              <w:bottom w:type="dxa" w:w="100"/>
              <w:right w:type="dxa" w:w="100"/>
            </w:tcMar>
          </w:tcPr>
          <w:p>
            <w:r>
              <w:t xml:space="preserve">49D7AF</w:t>
            </w:r>
          </w:p>
        </w:tc>
      </w:tr>
    </w:tbl>
    <w:p>
      <w:pPr>
        <w:pStyle w:val="Heading1"/>
      </w:pPr>
      <w:r>
        <w:t xml:space="preserve">PurpleSpace support</w:t>
      </w:r>
    </w:p>
    <w:p>
      <w:pPr>
        <w:spacing w:after="160"/>
      </w:pPr>
      <w:r>
        <w:t xml:space="preserve">As a PurpleSpace member, you have full access to several resources that can support your #PositivelyPurple planning:</w:t>
      </w:r>
    </w:p>
    <w:p>
      <w:pPr>
        <w:pStyle w:val="ListParagraph"/>
        <w:numPr>
          <w:ilvl w:val="0"/>
          <w:numId w:val="2"/>
        </w:numPr>
        <w:spacing w:after="80"/>
      </w:pPr>
      <w:r>
        <w:t xml:space="preserve">Our Member Zone is a fantastic tool connecting you with other PurpleSpace members who are participating in #PositivelyPurple, with the opportunity to share ideas.</w:t>
      </w:r>
    </w:p>
    <w:p>
      <w:pPr>
        <w:pStyle w:val="ListParagraph"/>
        <w:numPr>
          <w:ilvl w:val="0"/>
          <w:numId w:val="2"/>
        </w:numPr>
        <w:spacing w:after="80"/>
      </w:pPr>
      <w:r>
        <w:t xml:space="preserve">You have full access to our #PositivelyPurple Strategic Forums to hear updates from PurpleSpace and speakers from our global community.</w:t>
      </w:r>
    </w:p>
    <w:p>
      <w:pPr>
        <w:pStyle w:val="ListParagraph"/>
        <w:numPr>
          <w:ilvl w:val="0"/>
          <w:numId w:val="2"/>
        </w:numPr>
        <w:spacing w:after="80"/>
      </w:pPr>
      <w:r>
        <w:t xml:space="preserve">Connect with your PurpleSpace Member Coach if you need additional signposting for #PositivelyPurple planning.</w:t>
      </w:r>
    </w:p>
    <w:p>
      <w:pPr>
        <w:pStyle w:val="ListParagraph"/>
        <w:numPr>
          <w:ilvl w:val="0"/>
          <w:numId w:val="2"/>
        </w:numPr>
        <w:spacing w:after="80"/>
      </w:pPr>
      <w:r>
        <w:t xml:space="preserve">Futurist members are offered a strategic planning session specifically for #PositivelyPurple.</w:t>
      </w:r>
    </w:p>
    <w:p>
      <w:pPr>
        <w:pStyle w:val="Heading1"/>
      </w:pPr>
      <w:r>
        <w:t xml:space="preserve">About PurpleSpace</w:t>
      </w:r>
    </w:p>
    <w:p>
      <w:pPr>
        <w:spacing w:after="160"/>
      </w:pPr>
      <w:r>
        <w:t xml:space="preserve">PurpleSpace is a unique leadership development membership hub for disability ERG/network leaders, champions, and allies around the world. Our 5,000+ members across 160+ employer brands employ over 1.5 million employees with disability between them.</w:t>
      </w:r>
    </w:p>
    <w:p>
      <w:pPr>
        <w:spacing w:after="160"/>
      </w:pPr>
      <w:r>
        <w:t xml:space="preserve">Members join to increase the effectiveness of their disability ERGs/networks, develop their leadership skills, and learn how to help their organisations become disability confident from the inside out. We call it Networkology, and it is having a powerful worldwide impact on driving the next phase of cultural change within many different types of organisations.</w:t>
      </w:r>
    </w:p>
    <w:p>
      <w:pPr>
        <w:spacing w:after="160"/>
      </w:pPr>
      <w:r>
        <w:t xml:space="preserve">The introduction of rights-based legislation is what we call the first phase of change. In some parts of the world that is still on the move. The second phase is the process where employers tap into the enabling products and services that help them create better policy, practice, and procedure. That phase continues.</w:t>
      </w:r>
    </w:p>
    <w:p>
      <w:pPr>
        <w:spacing w:after="160"/>
      </w:pPr>
      <w:r>
        <w:t xml:space="preserve">Meanwhile, the third phase of change has begun.</w:t>
      </w:r>
    </w:p>
    <w:p>
      <w:pPr>
        <w:spacing w:after="160"/>
      </w:pPr>
      <w:r>
        <w:t xml:space="preserve">Where employees with disability build inner confidence, lean into their careers, and create meaningful conversation about how to get ahead at work. High-performing disability ERGs and networks are at the vanguard of this change. This is the new modern approach to sustaining culture change. It's what we do. Find the space to think Networkology.</w:t>
      </w:r>
    </w:p>
    <w:p>
      <w:pPr>
        <w:spacing w:after="160"/>
      </w:pPr>
      <w:r>
        <w:t xml:space="preserve">PurpleSpace Registered Office: 2nd Floor, Here East Press Centre, 14 East Bay Lane, London, E15 2GW. Company number 09764245.</w:t>
      </w:r>
    </w:p>
    <w:p>
      <w:pPr>
        <w:pStyle w:val="Heading1"/>
      </w:pPr>
      <w:r>
        <w:t xml:space="preserve">Contact</w:t>
      </w:r>
    </w:p>
    <w:p>
      <w:r>
        <w:t xml:space="preserve">For more information, contact </w:t>
      </w:r>
      <w:hyperlink w:history="1" r:id="rIddzsmhbjrwbkrjvxumd7sx">
        <w:r>
          <w:rPr>
            <w:rStyle w:val="Hyperlink"/>
          </w:rPr>
          <w:t xml:space="preserve">kirstie@purplespace.org</w:t>
        </w:r>
      </w:hyperlink>
      <w:r>
        <w:t xml:space="preserv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5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Calibri" w:cs="Calibri" w:eastAsia="Calibri" w:hAnsi="Calibri"/>
      <w:b/>
      <w:bCs/>
      <w:color w:val="81366D"/>
      <w:sz w:val="56"/>
      <w:szCs w:val="56"/>
    </w:rPr>
  </w:style>
  <w:style w:type="paragraph" w:styleId="Heading1">
    <w:name w:val="Heading 1"/>
    <w:basedOn w:val="Normal"/>
    <w:next w:val="Normal"/>
    <w:qFormat/>
    <w:pPr>
      <w:spacing w:after="180" w:before="360"/>
      <w:outlineLvl w:val="0"/>
    </w:pPr>
    <w:rPr>
      <w:rFonts w:ascii="Calibri" w:cs="Calibri" w:eastAsia="Calibri" w:hAnsi="Calibri"/>
      <w:b/>
      <w:bCs/>
      <w:color w:val="81366D"/>
      <w:sz w:val="32"/>
      <w:szCs w:val="32"/>
    </w:rPr>
  </w:style>
  <w:style w:type="paragraph" w:styleId="Heading2">
    <w:name w:val="Heading 2"/>
    <w:basedOn w:val="Normal"/>
    <w:next w:val="Normal"/>
    <w:qFormat/>
    <w:pPr>
      <w:spacing w:after="140" w:before="280"/>
      <w:outlineLvl w:val="1"/>
    </w:pPr>
    <w:rPr>
      <w:rFonts w:ascii="Calibri" w:cs="Calibri" w:eastAsia="Calibri" w:hAnsi="Calibri"/>
      <w:b/>
      <w:bCs/>
      <w:color w:val="81366D"/>
      <w:sz w:val="26"/>
      <w:szCs w:val="26"/>
    </w:rPr>
  </w:style>
  <w:style w:type="paragraph" w:styleId="Heading3">
    <w:name w:val="Heading 3"/>
    <w:basedOn w:val="Normal"/>
    <w:next w:val="Normal"/>
    <w:qFormat/>
    <w:pPr>
      <w:spacing w:after="100" w:before="220"/>
      <w:outlineLvl w:val="2"/>
    </w:pPr>
    <w:rPr>
      <w:rFonts w:ascii="Calibri" w:cs="Calibri" w:eastAsia="Calibri" w:hAnsi="Calibri"/>
      <w:b/>
      <w:bCs/>
      <w:color w:val="5C2650"/>
      <w:sz w:val="23"/>
      <w:szCs w:val="23"/>
    </w:rPr>
  </w:style>
  <w:style w:type="character" w:styleId="Hyperlink">
    <w:name w:val="Hyperlink"/>
    <w:basedOn w:val="DefaultParagraphFont"/>
    <w:uiPriority w:val="99"/>
    <w:unhideWhenUsed/>
    <w:rPr>
      <w:color w:val="1155CC"/>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rsk7fqv9vgeo17cyftai" Type="http://schemas.openxmlformats.org/officeDocument/2006/relationships/hyperlink" Target="mailto:kirstie@purplespace.org" TargetMode="External"/><Relationship Id="rIdmw-alnfexjsbqlpv07sh3" Type="http://schemas.openxmlformats.org/officeDocument/2006/relationships/hyperlink" Target="#" TargetMode="External"/><Relationship Id="rId-jdur6ibyrbphhv4n42lm" Type="http://schemas.openxmlformats.org/officeDocument/2006/relationships/hyperlink" Target="mailto:kirstie@purplespace.org" TargetMode="External"/><Relationship Id="rIdgydleco86tse4rtkbwfgi" Type="http://schemas.openxmlformats.org/officeDocument/2006/relationships/hyperlink" Target="#" TargetMode="External"/><Relationship Id="rIdftxg3vc_pdddhlcwo424d" Type="http://schemas.openxmlformats.org/officeDocument/2006/relationships/hyperlink" Target="mailto:kirstie@purplespace.org" TargetMode="External"/><Relationship Id="rIddzsmhbjrwbkrjvxumd7sx" Type="http://schemas.openxmlformats.org/officeDocument/2006/relationships/hyperlink" Target="mailto:kirstie@purplespace.org"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PurpleSpace #PositivelyPurple 2026 Support Pack</dc:title>
  <dc:creator>Un-named</dc:creator>
  <dc:description>Accessible Word version of the #PositivelyPurple 2026 Support Pack, converted from the original PDF.</dc:description>
  <cp:lastModifiedBy>Un-named</cp:lastModifiedBy>
  <cp:revision>1</cp:revision>
  <dcterms:created xsi:type="dcterms:W3CDTF">2026-09-17T13:20:50.680Z</dcterms:created>
  <dcterms:modified xsi:type="dcterms:W3CDTF">2026-09-17T13:20:50.682Z</dcterms:modified>
</cp:coreProperties>
</file>

<file path=docProps/custom.xml><?xml version="1.0" encoding="utf-8"?>
<Properties xmlns="http://schemas.openxmlformats.org/officeDocument/2006/custom-properties" xmlns:vt="http://schemas.openxmlformats.org/officeDocument/2006/docPropsVTypes"/>
</file>